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  <w:bookmarkStart w:id="0" w:name="_GoBack"/>
      <w:bookmarkEnd w:id="0"/>
    </w:p>
    <w:p w:rsidR="00C828EF" w:rsidRDefault="00802900" w:rsidP="00C828EF">
      <w:pPr>
        <w:jc w:val="center"/>
        <w:rPr>
          <w:b/>
          <w:sz w:val="23"/>
          <w:szCs w:val="23"/>
        </w:rPr>
      </w:pPr>
      <w:r>
        <w:rPr>
          <w:b/>
        </w:rPr>
        <w:tab/>
      </w:r>
      <w:r w:rsidR="00C828EF" w:rsidRPr="00116022">
        <w:rPr>
          <w:b/>
          <w:sz w:val="23"/>
          <w:szCs w:val="23"/>
        </w:rPr>
        <w:t>A felnőttképzés módszertana I. – BTAD403BA</w:t>
      </w:r>
    </w:p>
    <w:p w:rsidR="00C828EF" w:rsidRDefault="00C828EF" w:rsidP="00C828E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2018/18. I. félév</w:t>
      </w:r>
    </w:p>
    <w:p w:rsidR="00C828EF" w:rsidRPr="00116022" w:rsidRDefault="00C828EF" w:rsidP="00C828E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</w:t>
      </w:r>
      <w:r w:rsidRPr="00116022">
        <w:rPr>
          <w:b/>
          <w:sz w:val="23"/>
          <w:szCs w:val="23"/>
        </w:rPr>
        <w:t>étfő - 10</w:t>
      </w:r>
      <w:r>
        <w:rPr>
          <w:b/>
          <w:sz w:val="23"/>
          <w:szCs w:val="23"/>
        </w:rPr>
        <w:t>.00-11.30 Főépület 14/3-es terem</w:t>
      </w: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  <w:r w:rsidRPr="00116022">
        <w:rPr>
          <w:b/>
          <w:sz w:val="23"/>
          <w:szCs w:val="23"/>
        </w:rPr>
        <w:t xml:space="preserve">A tantárgy </w:t>
      </w:r>
      <w:r>
        <w:rPr>
          <w:b/>
          <w:sz w:val="23"/>
          <w:szCs w:val="23"/>
        </w:rPr>
        <w:t>célja, hogy a</w:t>
      </w:r>
      <w:r w:rsidRPr="00116022">
        <w:rPr>
          <w:sz w:val="23"/>
          <w:szCs w:val="23"/>
        </w:rPr>
        <w:t xml:space="preserve"> hallgatók megismerjék az oktatási rendszer alapvető összefüggéseit, a felnőttek tanulásának, tanításának didaktikai elveit, módszertani hátterét; a vonatkozó ismeretszerzési módokat és az ismeretforrásokat, szakterületükön a problémák több szempontú megközelítésének, a megoldások értékelésének elveit és módszereit.</w:t>
      </w: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  <w:r w:rsidRPr="00116022">
        <w:rPr>
          <w:b/>
          <w:sz w:val="23"/>
          <w:szCs w:val="23"/>
        </w:rPr>
        <w:t>Érintendő témák</w:t>
      </w:r>
    </w:p>
    <w:p w:rsidR="00C828EF" w:rsidRPr="00116022" w:rsidRDefault="00C828EF" w:rsidP="00C828EF">
      <w:pPr>
        <w:pStyle w:val="Listaszerbekezds"/>
        <w:numPr>
          <w:ilvl w:val="0"/>
          <w:numId w:val="10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16022">
        <w:rPr>
          <w:rFonts w:ascii="Times New Roman" w:eastAsia="Calibri" w:hAnsi="Times New Roman" w:cs="Times New Roman"/>
          <w:sz w:val="23"/>
          <w:szCs w:val="23"/>
        </w:rPr>
        <w:t xml:space="preserve">A tantárgy céljának, módszereinek, követelményeinek ismertetése. Ismétlés és beszélgetés, a témához kapcsolódó korábbi ismeretek rendszerezése. </w:t>
      </w:r>
    </w:p>
    <w:p w:rsidR="00C828EF" w:rsidRPr="00116022" w:rsidRDefault="00C828EF" w:rsidP="00C828E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16022">
        <w:rPr>
          <w:rFonts w:ascii="Times New Roman" w:eastAsia="Calibri" w:hAnsi="Times New Roman" w:cs="Times New Roman"/>
          <w:iCs/>
          <w:sz w:val="23"/>
          <w:szCs w:val="23"/>
        </w:rPr>
        <w:t xml:space="preserve">A felnőtt tanulás fő szempontjai. A felnőtt tanulás elvei. A felnőtt tanuló speciális szükségletei. </w:t>
      </w:r>
      <w:r w:rsidRPr="00116022">
        <w:rPr>
          <w:rFonts w:ascii="Times New Roman" w:hAnsi="Times New Roman" w:cs="Times New Roman"/>
          <w:sz w:val="23"/>
          <w:szCs w:val="23"/>
        </w:rPr>
        <w:t>A felnőtt tanuló jellemzői, tanulás elvei, motívumai és akadályai</w:t>
      </w:r>
    </w:p>
    <w:p w:rsidR="00C828EF" w:rsidRPr="00116022" w:rsidRDefault="00C828EF" w:rsidP="00C828E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116022">
        <w:rPr>
          <w:rFonts w:ascii="Times New Roman" w:eastAsia="Calibri" w:hAnsi="Times New Roman" w:cs="Times New Roman"/>
          <w:sz w:val="23"/>
          <w:szCs w:val="23"/>
        </w:rPr>
        <w:t xml:space="preserve">A felnőtt tanulás szempontjai. </w:t>
      </w:r>
      <w:r w:rsidRPr="00116022">
        <w:rPr>
          <w:rFonts w:ascii="Times New Roman" w:eastAsia="Calibri" w:hAnsi="Times New Roman" w:cs="Times New Roman"/>
          <w:iCs/>
          <w:sz w:val="23"/>
          <w:szCs w:val="23"/>
        </w:rPr>
        <w:t xml:space="preserve">Tanulási stílusok. Tanítási stílusok. A </w:t>
      </w:r>
      <w:proofErr w:type="spellStart"/>
      <w:r w:rsidRPr="00116022">
        <w:rPr>
          <w:rFonts w:ascii="Times New Roman" w:eastAsia="Calibri" w:hAnsi="Times New Roman" w:cs="Times New Roman"/>
          <w:iCs/>
          <w:sz w:val="23"/>
          <w:szCs w:val="23"/>
        </w:rPr>
        <w:t>Kolb</w:t>
      </w:r>
      <w:proofErr w:type="spellEnd"/>
      <w:r w:rsidRPr="00116022">
        <w:rPr>
          <w:rFonts w:ascii="Times New Roman" w:eastAsia="Calibri" w:hAnsi="Times New Roman" w:cs="Times New Roman"/>
          <w:iCs/>
          <w:sz w:val="23"/>
          <w:szCs w:val="23"/>
        </w:rPr>
        <w:t xml:space="preserve"> féle tanulási ciklus.</w:t>
      </w:r>
    </w:p>
    <w:p w:rsidR="00C828EF" w:rsidRPr="00116022" w:rsidRDefault="00C828EF" w:rsidP="00C828EF">
      <w:pPr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116022">
        <w:rPr>
          <w:rFonts w:eastAsia="Calibri"/>
          <w:sz w:val="23"/>
          <w:szCs w:val="23"/>
        </w:rPr>
        <w:t xml:space="preserve">Tanulási szükséglet, cél, igény. </w:t>
      </w:r>
      <w:r w:rsidRPr="00116022">
        <w:rPr>
          <w:rFonts w:eastAsia="Calibri"/>
          <w:iCs/>
          <w:sz w:val="23"/>
          <w:szCs w:val="23"/>
        </w:rPr>
        <w:t xml:space="preserve">Képzési cél és feladatrendszer kialakítása. </w:t>
      </w:r>
      <w:r w:rsidRPr="00116022">
        <w:rPr>
          <w:color w:val="000000"/>
          <w:sz w:val="23"/>
          <w:szCs w:val="23"/>
        </w:rPr>
        <w:t>Képzési tervek, óratervek összeállítása</w:t>
      </w:r>
    </w:p>
    <w:p w:rsidR="00C828EF" w:rsidRPr="00116022" w:rsidRDefault="00C828EF" w:rsidP="00C828E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116022">
        <w:rPr>
          <w:rFonts w:ascii="Times New Roman" w:eastAsia="Calibri" w:hAnsi="Times New Roman" w:cs="Times New Roman"/>
          <w:iCs/>
          <w:sz w:val="23"/>
          <w:szCs w:val="23"/>
        </w:rPr>
        <w:t>A tanítás módszerei.</w:t>
      </w:r>
      <w:r w:rsidRPr="00116022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116022">
        <w:rPr>
          <w:rFonts w:ascii="Times New Roman" w:eastAsia="Calibri" w:hAnsi="Times New Roman" w:cs="Times New Roman"/>
          <w:iCs/>
          <w:sz w:val="23"/>
          <w:szCs w:val="23"/>
        </w:rPr>
        <w:t>Az oktatás szervezési módjai. A módszer és rokon fogalmai (stratégia, módszer, eljárás).</w:t>
      </w:r>
    </w:p>
    <w:p w:rsidR="00C828EF" w:rsidRPr="00116022" w:rsidRDefault="00C828EF" w:rsidP="00C828E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116022">
        <w:rPr>
          <w:rFonts w:ascii="Times New Roman" w:eastAsia="Calibri" w:hAnsi="Times New Roman" w:cs="Times New Roman"/>
          <w:iCs/>
          <w:sz w:val="23"/>
          <w:szCs w:val="23"/>
        </w:rPr>
        <w:t xml:space="preserve">A tanítás módszerei. </w:t>
      </w:r>
      <w:r w:rsidRPr="00116022">
        <w:rPr>
          <w:rFonts w:ascii="Times New Roman" w:hAnsi="Times New Roman" w:cs="Times New Roman"/>
          <w:iCs/>
          <w:sz w:val="23"/>
          <w:szCs w:val="23"/>
        </w:rPr>
        <w:t>M</w:t>
      </w:r>
      <w:r w:rsidRPr="00116022">
        <w:rPr>
          <w:rFonts w:ascii="Times New Roman" w:eastAsia="Calibri" w:hAnsi="Times New Roman" w:cs="Times New Roman"/>
          <w:iCs/>
          <w:sz w:val="23"/>
          <w:szCs w:val="23"/>
        </w:rPr>
        <w:t>ódszercsoportok, módszerfajták.</w:t>
      </w:r>
    </w:p>
    <w:p w:rsidR="00C828EF" w:rsidRPr="00116022" w:rsidRDefault="00C828EF" w:rsidP="00C828EF">
      <w:pPr>
        <w:numPr>
          <w:ilvl w:val="0"/>
          <w:numId w:val="10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116022">
        <w:rPr>
          <w:sz w:val="23"/>
          <w:szCs w:val="23"/>
        </w:rPr>
        <w:t xml:space="preserve">A tanítás módszerei. </w:t>
      </w:r>
      <w:proofErr w:type="spellStart"/>
      <w:r w:rsidRPr="00116022">
        <w:rPr>
          <w:sz w:val="23"/>
          <w:szCs w:val="23"/>
        </w:rPr>
        <w:t>Előadóközpontú</w:t>
      </w:r>
      <w:proofErr w:type="spellEnd"/>
      <w:r w:rsidRPr="00116022">
        <w:rPr>
          <w:sz w:val="23"/>
          <w:szCs w:val="23"/>
        </w:rPr>
        <w:t xml:space="preserve"> módszerek megismerése</w:t>
      </w:r>
      <w:r w:rsidRPr="00116022">
        <w:rPr>
          <w:bCs/>
          <w:sz w:val="23"/>
          <w:szCs w:val="23"/>
        </w:rPr>
        <w:t xml:space="preserve"> (</w:t>
      </w:r>
      <w:r w:rsidRPr="00116022">
        <w:rPr>
          <w:sz w:val="23"/>
          <w:szCs w:val="23"/>
        </w:rPr>
        <w:t>előadás</w:t>
      </w:r>
      <w:r w:rsidRPr="00116022">
        <w:rPr>
          <w:bCs/>
          <w:sz w:val="23"/>
          <w:szCs w:val="23"/>
        </w:rPr>
        <w:t xml:space="preserve">, </w:t>
      </w:r>
      <w:r w:rsidRPr="00116022">
        <w:rPr>
          <w:sz w:val="23"/>
          <w:szCs w:val="23"/>
        </w:rPr>
        <w:t>tanbeszélgetés</w:t>
      </w:r>
      <w:r w:rsidRPr="00116022">
        <w:rPr>
          <w:bCs/>
          <w:sz w:val="23"/>
          <w:szCs w:val="23"/>
        </w:rPr>
        <w:t xml:space="preserve">, </w:t>
      </w:r>
      <w:r w:rsidRPr="00116022">
        <w:rPr>
          <w:sz w:val="23"/>
          <w:szCs w:val="23"/>
        </w:rPr>
        <w:t>kerekasztal stb.)</w:t>
      </w:r>
    </w:p>
    <w:p w:rsidR="00C828EF" w:rsidRPr="00A14373" w:rsidRDefault="00C828EF" w:rsidP="00C828EF">
      <w:pPr>
        <w:numPr>
          <w:ilvl w:val="0"/>
          <w:numId w:val="10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116022">
        <w:rPr>
          <w:sz w:val="23"/>
          <w:szCs w:val="23"/>
        </w:rPr>
        <w:t>A tanítás módszerei. Résztvevőközpontú módszerek megismerése</w:t>
      </w:r>
      <w:r w:rsidRPr="00116022">
        <w:rPr>
          <w:bCs/>
          <w:sz w:val="23"/>
          <w:szCs w:val="23"/>
        </w:rPr>
        <w:t xml:space="preserve"> (</w:t>
      </w:r>
      <w:r w:rsidRPr="00116022">
        <w:rPr>
          <w:sz w:val="23"/>
          <w:szCs w:val="23"/>
        </w:rPr>
        <w:t>csoportmunka</w:t>
      </w:r>
      <w:r w:rsidRPr="00116022">
        <w:rPr>
          <w:bCs/>
          <w:sz w:val="23"/>
          <w:szCs w:val="23"/>
        </w:rPr>
        <w:t xml:space="preserve">, </w:t>
      </w:r>
      <w:r w:rsidRPr="00116022">
        <w:rPr>
          <w:sz w:val="23"/>
          <w:szCs w:val="23"/>
        </w:rPr>
        <w:t>projektmódszer, vita technika stb.)</w:t>
      </w:r>
    </w:p>
    <w:p w:rsidR="00C828EF" w:rsidRPr="00116022" w:rsidRDefault="00C828EF" w:rsidP="00C828EF">
      <w:pPr>
        <w:numPr>
          <w:ilvl w:val="0"/>
          <w:numId w:val="10"/>
        </w:numPr>
        <w:autoSpaceDE/>
        <w:autoSpaceDN/>
        <w:adjustRightInd/>
        <w:jc w:val="both"/>
        <w:rPr>
          <w:bCs/>
          <w:sz w:val="23"/>
          <w:szCs w:val="23"/>
        </w:rPr>
      </w:pPr>
      <w:r>
        <w:rPr>
          <w:sz w:val="23"/>
          <w:szCs w:val="23"/>
        </w:rPr>
        <w:t>A projektmódszer kipróbálása a gyakorlatban.</w:t>
      </w: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  <w:r w:rsidRPr="00116022">
        <w:rPr>
          <w:b/>
          <w:sz w:val="23"/>
          <w:szCs w:val="23"/>
        </w:rPr>
        <w:t>Kötelező irodalom:</w:t>
      </w:r>
    </w:p>
    <w:p w:rsidR="00C828EF" w:rsidRPr="00116022" w:rsidRDefault="00C828EF" w:rsidP="00C828EF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 xml:space="preserve">Falus Iván (2007): Az oktatás stratégiái és módszerei. </w:t>
      </w:r>
      <w:proofErr w:type="spellStart"/>
      <w:r w:rsidRPr="00116022">
        <w:rPr>
          <w:sz w:val="23"/>
          <w:szCs w:val="23"/>
        </w:rPr>
        <w:t>In</w:t>
      </w:r>
      <w:proofErr w:type="spellEnd"/>
      <w:r w:rsidRPr="00116022">
        <w:rPr>
          <w:b/>
          <w:bCs/>
          <w:sz w:val="23"/>
          <w:szCs w:val="23"/>
        </w:rPr>
        <w:t xml:space="preserve"> </w:t>
      </w:r>
      <w:r w:rsidRPr="00116022">
        <w:rPr>
          <w:sz w:val="23"/>
          <w:szCs w:val="23"/>
        </w:rPr>
        <w:t xml:space="preserve">Falus Iván (szerk.): </w:t>
      </w:r>
      <w:r w:rsidRPr="00116022">
        <w:rPr>
          <w:iCs/>
          <w:sz w:val="23"/>
          <w:szCs w:val="23"/>
        </w:rPr>
        <w:t xml:space="preserve">Didaktika. Elméleti alapok a tanítás tanulásához. </w:t>
      </w:r>
      <w:r w:rsidRPr="00116022">
        <w:rPr>
          <w:sz w:val="23"/>
          <w:szCs w:val="23"/>
        </w:rPr>
        <w:t>Budapest, Nemzeti Tankönyvkiadó 244-296. ISBN: 978-963-19-5296-4</w:t>
      </w:r>
    </w:p>
    <w:p w:rsidR="00C828EF" w:rsidRPr="00116022" w:rsidRDefault="00C828EF" w:rsidP="00C828EF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 xml:space="preserve">Kocsis Mihály (2006): A felnőttek tanulási motivációi. </w:t>
      </w:r>
      <w:proofErr w:type="spellStart"/>
      <w:r w:rsidRPr="00116022">
        <w:rPr>
          <w:sz w:val="23"/>
          <w:szCs w:val="23"/>
        </w:rPr>
        <w:t>In</w:t>
      </w:r>
      <w:proofErr w:type="spellEnd"/>
      <w:r w:rsidRPr="00116022">
        <w:rPr>
          <w:sz w:val="23"/>
          <w:szCs w:val="23"/>
        </w:rPr>
        <w:t xml:space="preserve">: Koltai Dénes – Lada László (szerk.): </w:t>
      </w:r>
      <w:r w:rsidRPr="00116022">
        <w:rPr>
          <w:iCs/>
          <w:sz w:val="23"/>
          <w:szCs w:val="23"/>
        </w:rPr>
        <w:t>Az andragógia korszerű eszközeiről és módszereiről</w:t>
      </w:r>
      <w:r w:rsidRPr="00116022">
        <w:rPr>
          <w:sz w:val="23"/>
          <w:szCs w:val="23"/>
        </w:rPr>
        <w:t xml:space="preserve">. Budapest, Nemzeti Felnőttképzési Intézet </w:t>
      </w:r>
      <w:r>
        <w:rPr>
          <w:sz w:val="23"/>
          <w:szCs w:val="23"/>
        </w:rPr>
        <w:t xml:space="preserve">113-142. </w:t>
      </w:r>
      <w:r w:rsidRPr="00116022">
        <w:rPr>
          <w:sz w:val="23"/>
          <w:szCs w:val="23"/>
        </w:rPr>
        <w:t>ISBN: 963-9649-22-8</w:t>
      </w:r>
    </w:p>
    <w:p w:rsidR="00C828EF" w:rsidRPr="00116022" w:rsidRDefault="00C828EF" w:rsidP="00C828EF">
      <w:pPr>
        <w:jc w:val="both"/>
        <w:rPr>
          <w:sz w:val="23"/>
          <w:szCs w:val="23"/>
        </w:rPr>
      </w:pP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  <w:r w:rsidRPr="00116022">
        <w:rPr>
          <w:b/>
          <w:sz w:val="23"/>
          <w:szCs w:val="23"/>
        </w:rPr>
        <w:t>Ajánlott irodalom:</w:t>
      </w:r>
    </w:p>
    <w:p w:rsidR="00C828EF" w:rsidRPr="00116022" w:rsidRDefault="00C828EF" w:rsidP="00E61C71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 xml:space="preserve">Cserné </w:t>
      </w:r>
      <w:proofErr w:type="spellStart"/>
      <w:r w:rsidRPr="00116022">
        <w:rPr>
          <w:sz w:val="23"/>
          <w:szCs w:val="23"/>
        </w:rPr>
        <w:t>Adermann</w:t>
      </w:r>
      <w:proofErr w:type="spellEnd"/>
      <w:r w:rsidRPr="00116022">
        <w:rPr>
          <w:sz w:val="23"/>
          <w:szCs w:val="23"/>
        </w:rPr>
        <w:t xml:space="preserve"> Gizella (2006): A felnőttek tanulásának, tanításának új, korszerű módszerei az élethosszig tartó tanulás aspektusából. </w:t>
      </w:r>
      <w:proofErr w:type="spellStart"/>
      <w:r w:rsidRPr="00116022">
        <w:rPr>
          <w:sz w:val="23"/>
          <w:szCs w:val="23"/>
        </w:rPr>
        <w:t>In</w:t>
      </w:r>
      <w:proofErr w:type="spellEnd"/>
      <w:r w:rsidRPr="00116022">
        <w:rPr>
          <w:sz w:val="23"/>
          <w:szCs w:val="23"/>
        </w:rPr>
        <w:t xml:space="preserve">: Koltai Dénes – Lada László (szerk.): </w:t>
      </w:r>
      <w:r w:rsidRPr="00116022">
        <w:rPr>
          <w:iCs/>
          <w:sz w:val="23"/>
          <w:szCs w:val="23"/>
        </w:rPr>
        <w:t>Az andragógia korszerű eszközeiről és módszereiről</w:t>
      </w:r>
      <w:r w:rsidRPr="00116022">
        <w:rPr>
          <w:sz w:val="23"/>
          <w:szCs w:val="23"/>
        </w:rPr>
        <w:t>. Budapest, Nemzeti Felnőttképzési Intézet 85-104. ISBN: 963-9649-22-8</w:t>
      </w:r>
    </w:p>
    <w:p w:rsidR="00E61C71" w:rsidRPr="00E61C71" w:rsidRDefault="00E61C71" w:rsidP="00E61C71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3"/>
          <w:szCs w:val="23"/>
        </w:rPr>
      </w:pPr>
      <w:r w:rsidRPr="00E61C71">
        <w:rPr>
          <w:b w:val="0"/>
          <w:bCs w:val="0"/>
          <w:kern w:val="0"/>
          <w:sz w:val="23"/>
          <w:szCs w:val="23"/>
        </w:rPr>
        <w:t>Fegyverneki Gergő</w:t>
      </w:r>
      <w:r>
        <w:rPr>
          <w:b w:val="0"/>
          <w:bCs w:val="0"/>
          <w:kern w:val="0"/>
          <w:sz w:val="23"/>
          <w:szCs w:val="23"/>
        </w:rPr>
        <w:t xml:space="preserve"> (2017):</w:t>
      </w:r>
      <w:r w:rsidRPr="00E61C71">
        <w:rPr>
          <w:b w:val="0"/>
          <w:bCs w:val="0"/>
          <w:kern w:val="0"/>
          <w:sz w:val="23"/>
          <w:szCs w:val="23"/>
        </w:rPr>
        <w:t xml:space="preserve"> A kaméleon-pedagógus így csinálja</w:t>
      </w:r>
      <w:r>
        <w:rPr>
          <w:b w:val="0"/>
          <w:bCs w:val="0"/>
          <w:kern w:val="0"/>
          <w:sz w:val="23"/>
          <w:szCs w:val="23"/>
        </w:rPr>
        <w:t xml:space="preserve"> </w:t>
      </w:r>
      <w:r w:rsidRPr="00E61C71">
        <w:rPr>
          <w:b w:val="0"/>
          <w:bCs w:val="0"/>
          <w:kern w:val="0"/>
          <w:sz w:val="23"/>
          <w:szCs w:val="23"/>
        </w:rPr>
        <w:t>-</w:t>
      </w:r>
      <w:r>
        <w:rPr>
          <w:b w:val="0"/>
          <w:bCs w:val="0"/>
          <w:kern w:val="0"/>
          <w:sz w:val="23"/>
          <w:szCs w:val="23"/>
        </w:rPr>
        <w:t xml:space="preserve"> </w:t>
      </w:r>
      <w:r w:rsidRPr="00E61C71">
        <w:rPr>
          <w:b w:val="0"/>
          <w:bCs w:val="0"/>
          <w:kern w:val="0"/>
          <w:sz w:val="23"/>
          <w:szCs w:val="23"/>
        </w:rPr>
        <w:t>Inspiráló ötletek modern pedagógusoknak</w:t>
      </w:r>
      <w:r>
        <w:rPr>
          <w:b w:val="0"/>
          <w:bCs w:val="0"/>
          <w:kern w:val="0"/>
          <w:sz w:val="23"/>
          <w:szCs w:val="23"/>
        </w:rPr>
        <w:t xml:space="preserve">. Budapest, </w:t>
      </w:r>
      <w:proofErr w:type="spellStart"/>
      <w:r>
        <w:rPr>
          <w:b w:val="0"/>
          <w:bCs w:val="0"/>
          <w:kern w:val="0"/>
          <w:sz w:val="23"/>
          <w:szCs w:val="23"/>
        </w:rPr>
        <w:t>Neteducatio</w:t>
      </w:r>
      <w:proofErr w:type="spellEnd"/>
      <w:r>
        <w:rPr>
          <w:b w:val="0"/>
          <w:bCs w:val="0"/>
          <w:kern w:val="0"/>
          <w:sz w:val="23"/>
          <w:szCs w:val="23"/>
        </w:rPr>
        <w:t xml:space="preserve"> Kft. ISBN 978–</w:t>
      </w:r>
      <w:r w:rsidRPr="00E61C71">
        <w:rPr>
          <w:b w:val="0"/>
          <w:bCs w:val="0"/>
          <w:kern w:val="0"/>
          <w:sz w:val="23"/>
          <w:szCs w:val="23"/>
        </w:rPr>
        <w:t>615</w:t>
      </w:r>
      <w:r>
        <w:rPr>
          <w:b w:val="0"/>
          <w:bCs w:val="0"/>
          <w:kern w:val="0"/>
          <w:sz w:val="23"/>
          <w:szCs w:val="23"/>
        </w:rPr>
        <w:t>-5718–</w:t>
      </w:r>
      <w:r w:rsidRPr="00E61C71">
        <w:rPr>
          <w:b w:val="0"/>
          <w:bCs w:val="0"/>
          <w:kern w:val="0"/>
          <w:sz w:val="23"/>
          <w:szCs w:val="23"/>
        </w:rPr>
        <w:t>07</w:t>
      </w:r>
      <w:r>
        <w:rPr>
          <w:b w:val="0"/>
          <w:bCs w:val="0"/>
          <w:kern w:val="0"/>
          <w:sz w:val="23"/>
          <w:szCs w:val="23"/>
        </w:rPr>
        <w:t>-</w:t>
      </w:r>
      <w:r w:rsidRPr="00E61C71">
        <w:rPr>
          <w:b w:val="0"/>
          <w:bCs w:val="0"/>
          <w:kern w:val="0"/>
          <w:sz w:val="23"/>
          <w:szCs w:val="23"/>
        </w:rPr>
        <w:t>6</w:t>
      </w:r>
    </w:p>
    <w:p w:rsidR="00C828EF" w:rsidRPr="00116022" w:rsidRDefault="00C828EF" w:rsidP="00E61C71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 xml:space="preserve">Henczi Lajos (szerk.) (2009): </w:t>
      </w:r>
      <w:proofErr w:type="spellStart"/>
      <w:r w:rsidRPr="00116022">
        <w:rPr>
          <w:sz w:val="23"/>
          <w:szCs w:val="23"/>
        </w:rPr>
        <w:t>Felnőttoktató</w:t>
      </w:r>
      <w:proofErr w:type="spellEnd"/>
      <w:r w:rsidRPr="00116022">
        <w:rPr>
          <w:sz w:val="23"/>
          <w:szCs w:val="23"/>
        </w:rPr>
        <w:t xml:space="preserve">. </w:t>
      </w:r>
      <w:r w:rsidRPr="00E61C71">
        <w:t>Budapest, Nemzeti Tankönyvkiadó ISBN 978-963-</w:t>
      </w:r>
      <w:r w:rsidRPr="00116022">
        <w:rPr>
          <w:rStyle w:val="ft"/>
          <w:sz w:val="23"/>
          <w:szCs w:val="23"/>
        </w:rPr>
        <w:t>1967-98-2</w:t>
      </w:r>
    </w:p>
    <w:p w:rsidR="00E61C71" w:rsidRDefault="00E61C71" w:rsidP="00E61C71">
      <w:pPr>
        <w:jc w:val="both"/>
        <w:rPr>
          <w:sz w:val="23"/>
          <w:szCs w:val="23"/>
        </w:rPr>
      </w:pPr>
      <w:r w:rsidRPr="00116022">
        <w:rPr>
          <w:sz w:val="23"/>
          <w:szCs w:val="23"/>
          <w:lang w:val="it-IT"/>
        </w:rPr>
        <w:t>Juhász Erika – Pete Nikoletta (szerk.): Tréningek a tehetséggondozásban. Civil dimenziók 2.</w:t>
      </w:r>
      <w:r w:rsidRPr="00116022">
        <w:rPr>
          <w:i/>
          <w:sz w:val="23"/>
          <w:szCs w:val="23"/>
          <w:lang w:val="it-IT"/>
        </w:rPr>
        <w:t xml:space="preserve"> </w:t>
      </w:r>
      <w:r w:rsidRPr="00116022">
        <w:rPr>
          <w:sz w:val="23"/>
          <w:szCs w:val="23"/>
          <w:lang w:val="it-IT"/>
        </w:rPr>
        <w:t xml:space="preserve">Szeged-Debrecen, Belvedere Meridionale </w:t>
      </w:r>
      <w:r w:rsidRPr="00116022">
        <w:rPr>
          <w:sz w:val="23"/>
          <w:szCs w:val="23"/>
        </w:rPr>
        <w:t>ISBN: 978-615-5372-09</w:t>
      </w:r>
    </w:p>
    <w:p w:rsidR="00E61C71" w:rsidRDefault="00E61C71" w:rsidP="00C828EF">
      <w:pPr>
        <w:jc w:val="both"/>
        <w:rPr>
          <w:sz w:val="23"/>
          <w:szCs w:val="23"/>
        </w:rPr>
      </w:pPr>
    </w:p>
    <w:p w:rsidR="00E61C71" w:rsidRDefault="00E61C71" w:rsidP="00C828EF">
      <w:pPr>
        <w:jc w:val="both"/>
        <w:rPr>
          <w:sz w:val="23"/>
          <w:szCs w:val="23"/>
        </w:rPr>
      </w:pPr>
    </w:p>
    <w:p w:rsidR="00C828EF" w:rsidRDefault="00C828EF" w:rsidP="00C828EF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>Kadocsa László</w:t>
      </w:r>
      <w:r>
        <w:rPr>
          <w:sz w:val="23"/>
          <w:szCs w:val="23"/>
        </w:rPr>
        <w:t xml:space="preserve"> (2008): Az atipikus tanulási formák elterjedésének lehetőségei és korlátai.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>: Benedek András - Koltai Dénes – Szekeres Tamás – Vass László: A felnőttképzés módszertani kérdései. Budapest, Nemzeti Felnőttképzési Intézet 189-215. ISBN nem ismert</w:t>
      </w:r>
    </w:p>
    <w:p w:rsidR="00C828EF" w:rsidRPr="00116022" w:rsidRDefault="00C828EF" w:rsidP="00C828E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Elérhető: </w:t>
      </w:r>
      <w:r w:rsidRPr="003B02F3">
        <w:rPr>
          <w:sz w:val="23"/>
          <w:szCs w:val="23"/>
        </w:rPr>
        <w:t>http://site.nive.hu/hefop351/ttk/lista.htm</w:t>
      </w:r>
    </w:p>
    <w:p w:rsidR="00C828EF" w:rsidRPr="00116022" w:rsidRDefault="00C828EF" w:rsidP="00C828EF">
      <w:pPr>
        <w:jc w:val="both"/>
        <w:rPr>
          <w:sz w:val="23"/>
          <w:szCs w:val="23"/>
        </w:rPr>
      </w:pPr>
      <w:proofErr w:type="spellStart"/>
      <w:r w:rsidRPr="00116022">
        <w:rPr>
          <w:sz w:val="23"/>
          <w:szCs w:val="23"/>
        </w:rPr>
        <w:t>Komenczi</w:t>
      </w:r>
      <w:proofErr w:type="spellEnd"/>
      <w:r w:rsidRPr="00116022">
        <w:rPr>
          <w:sz w:val="23"/>
          <w:szCs w:val="23"/>
        </w:rPr>
        <w:t xml:space="preserve"> Bertalan (2009): Elektronikus tanulási környezetek. Budapest, Gondolat Kiadó ISBN: 978-963-693-157-5</w:t>
      </w:r>
    </w:p>
    <w:p w:rsidR="00C828EF" w:rsidRPr="00116022" w:rsidRDefault="00C828EF" w:rsidP="00C828EF">
      <w:pPr>
        <w:jc w:val="both"/>
        <w:rPr>
          <w:b/>
          <w:sz w:val="23"/>
          <w:szCs w:val="23"/>
        </w:rPr>
      </w:pPr>
      <w:r w:rsidRPr="00116022">
        <w:rPr>
          <w:sz w:val="23"/>
          <w:szCs w:val="23"/>
        </w:rPr>
        <w:t xml:space="preserve">Maróti Andor (2005): Résztvevő-központúság a felnőttek tanításában. </w:t>
      </w:r>
      <w:proofErr w:type="spellStart"/>
      <w:r w:rsidRPr="00116022">
        <w:rPr>
          <w:sz w:val="23"/>
          <w:szCs w:val="23"/>
        </w:rPr>
        <w:t>In</w:t>
      </w:r>
      <w:proofErr w:type="spellEnd"/>
      <w:r w:rsidRPr="00116022">
        <w:rPr>
          <w:sz w:val="23"/>
          <w:szCs w:val="23"/>
        </w:rPr>
        <w:t>: Maróti Andor (szerk.): Tanulmányok és előadások a felnőttek képzéséről. Budapest, Nyitott Könyvkiadó ISBN: 963-86445-5-9</w:t>
      </w:r>
    </w:p>
    <w:p w:rsidR="00C828EF" w:rsidRPr="00116022" w:rsidRDefault="00C828EF" w:rsidP="00C828EF">
      <w:pPr>
        <w:rPr>
          <w:sz w:val="23"/>
          <w:szCs w:val="23"/>
        </w:rPr>
      </w:pPr>
      <w:r w:rsidRPr="00116022">
        <w:rPr>
          <w:sz w:val="23"/>
          <w:szCs w:val="23"/>
        </w:rPr>
        <w:t xml:space="preserve">Mayer József (szerk.) (2005): </w:t>
      </w:r>
      <w:r w:rsidRPr="00116022">
        <w:rPr>
          <w:iCs/>
          <w:sz w:val="23"/>
          <w:szCs w:val="23"/>
        </w:rPr>
        <w:t>Munka és tanulás. Új utak keresése és új módszerek alkalmazása a hátrányos helyzetű felnőttek tanulásának elősegítéséhez.</w:t>
      </w:r>
      <w:r w:rsidRPr="00116022">
        <w:rPr>
          <w:sz w:val="23"/>
          <w:szCs w:val="23"/>
        </w:rPr>
        <w:t xml:space="preserve"> Budapest, OKI ISBN: 963-682-543-2</w:t>
      </w:r>
    </w:p>
    <w:p w:rsidR="00C828EF" w:rsidRDefault="00C828EF" w:rsidP="00C828EF">
      <w:pPr>
        <w:rPr>
          <w:sz w:val="23"/>
          <w:szCs w:val="23"/>
        </w:rPr>
      </w:pPr>
    </w:p>
    <w:p w:rsidR="00E61C71" w:rsidRPr="00116022" w:rsidRDefault="00E61C71" w:rsidP="00E61C71">
      <w:pPr>
        <w:jc w:val="both"/>
        <w:rPr>
          <w:b/>
          <w:sz w:val="23"/>
          <w:szCs w:val="23"/>
        </w:rPr>
      </w:pPr>
      <w:r w:rsidRPr="00116022">
        <w:rPr>
          <w:b/>
          <w:sz w:val="23"/>
          <w:szCs w:val="23"/>
        </w:rPr>
        <w:t>A félév teljesítésének feltételei:</w:t>
      </w:r>
    </w:p>
    <w:p w:rsidR="00E61C71" w:rsidRDefault="00E61C71" w:rsidP="00E61C71">
      <w:pPr>
        <w:jc w:val="both"/>
        <w:rPr>
          <w:sz w:val="23"/>
          <w:szCs w:val="23"/>
        </w:rPr>
      </w:pPr>
      <w:r w:rsidRPr="00116022">
        <w:rPr>
          <w:sz w:val="23"/>
          <w:szCs w:val="23"/>
        </w:rPr>
        <w:t>A tantárgy témakörein - a kötelező irodalom ismeretanyagán és az előadáson elhangzottakon - alapuló kérdéssorból álló írásbeli vizsga.</w:t>
      </w:r>
    </w:p>
    <w:p w:rsidR="00E61C71" w:rsidRPr="00116022" w:rsidRDefault="00E61C71" w:rsidP="00E61C71">
      <w:pPr>
        <w:jc w:val="both"/>
        <w:rPr>
          <w:sz w:val="23"/>
          <w:szCs w:val="23"/>
        </w:rPr>
      </w:pPr>
      <w:r>
        <w:rPr>
          <w:sz w:val="23"/>
          <w:szCs w:val="23"/>
        </w:rPr>
        <w:t>Az órai munkában való aktív részvétel.</w:t>
      </w:r>
    </w:p>
    <w:p w:rsidR="00E61C71" w:rsidRDefault="00E61C71" w:rsidP="00C828EF">
      <w:pPr>
        <w:rPr>
          <w:sz w:val="23"/>
          <w:szCs w:val="23"/>
        </w:rPr>
      </w:pPr>
    </w:p>
    <w:p w:rsidR="00E61C71" w:rsidRPr="00114F2D" w:rsidRDefault="00E61C71" w:rsidP="00C828EF">
      <w:pPr>
        <w:rPr>
          <w:sz w:val="23"/>
          <w:szCs w:val="23"/>
        </w:rPr>
      </w:pPr>
    </w:p>
    <w:p w:rsidR="00C828EF" w:rsidRPr="00114F2D" w:rsidRDefault="00C828EF" w:rsidP="00C828EF">
      <w:pPr>
        <w:rPr>
          <w:sz w:val="23"/>
          <w:szCs w:val="23"/>
        </w:rPr>
      </w:pPr>
      <w:r w:rsidRPr="00114F2D">
        <w:rPr>
          <w:sz w:val="23"/>
          <w:szCs w:val="23"/>
        </w:rPr>
        <w:t>Debrecen, 201</w:t>
      </w:r>
      <w:r>
        <w:rPr>
          <w:sz w:val="23"/>
          <w:szCs w:val="23"/>
        </w:rPr>
        <w:t>8</w:t>
      </w:r>
      <w:r w:rsidRPr="00114F2D">
        <w:rPr>
          <w:sz w:val="23"/>
          <w:szCs w:val="23"/>
        </w:rPr>
        <w:t>. 09. 1</w:t>
      </w:r>
      <w:r>
        <w:rPr>
          <w:sz w:val="23"/>
          <w:szCs w:val="23"/>
        </w:rPr>
        <w:t>1</w:t>
      </w:r>
      <w:r w:rsidRPr="00114F2D">
        <w:rPr>
          <w:sz w:val="23"/>
          <w:szCs w:val="23"/>
        </w:rPr>
        <w:t>.</w:t>
      </w:r>
    </w:p>
    <w:p w:rsidR="00C828EF" w:rsidRPr="00114F2D" w:rsidRDefault="00C828EF" w:rsidP="00C828EF">
      <w:pPr>
        <w:rPr>
          <w:sz w:val="23"/>
          <w:szCs w:val="23"/>
        </w:rPr>
      </w:pP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  <w:t>Dr. Márkus Edina</w:t>
      </w:r>
    </w:p>
    <w:p w:rsidR="00C828EF" w:rsidRPr="00114F2D" w:rsidRDefault="00C828EF" w:rsidP="00C828EF">
      <w:pPr>
        <w:rPr>
          <w:sz w:val="23"/>
          <w:szCs w:val="23"/>
        </w:rPr>
      </w:pP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r w:rsidRPr="00114F2D">
        <w:rPr>
          <w:sz w:val="23"/>
          <w:szCs w:val="23"/>
        </w:rPr>
        <w:tab/>
      </w:r>
      <w:proofErr w:type="gramStart"/>
      <w:r w:rsidRPr="00114F2D">
        <w:rPr>
          <w:sz w:val="23"/>
          <w:szCs w:val="23"/>
        </w:rPr>
        <w:t>egyetemi</w:t>
      </w:r>
      <w:proofErr w:type="gramEnd"/>
      <w:r w:rsidRPr="00114F2D">
        <w:rPr>
          <w:sz w:val="23"/>
          <w:szCs w:val="23"/>
        </w:rPr>
        <w:t xml:space="preserve"> adjunktus</w:t>
      </w:r>
    </w:p>
    <w:p w:rsidR="003E4158" w:rsidRPr="0094534F" w:rsidRDefault="003E4158" w:rsidP="00DC3280">
      <w:pPr>
        <w:tabs>
          <w:tab w:val="left" w:pos="5670"/>
        </w:tabs>
        <w:rPr>
          <w:rFonts w:ascii="Calibri" w:hAnsi="Calibri"/>
          <w:lang w:val="en-US"/>
        </w:rPr>
      </w:pPr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6" w:rsidRDefault="00C00EE6" w:rsidP="007523CC">
      <w:r>
        <w:separator/>
      </w:r>
    </w:p>
  </w:endnote>
  <w:endnote w:type="continuationSeparator" w:id="1">
    <w:p w:rsidR="00C00EE6" w:rsidRDefault="00C00EE6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6" w:rsidRDefault="00C00EE6" w:rsidP="007523CC">
      <w:r>
        <w:separator/>
      </w:r>
    </w:p>
  </w:footnote>
  <w:footnote w:type="continuationSeparator" w:id="1">
    <w:p w:rsidR="00C00EE6" w:rsidRDefault="00C00EE6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2311FD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6145" type="#_x0000_t32" style="position:absolute;left:0;text-align:left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DC3"/>
    <w:multiLevelType w:val="hybridMultilevel"/>
    <w:tmpl w:val="A7CCC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FCF"/>
    <w:multiLevelType w:val="hybridMultilevel"/>
    <w:tmpl w:val="9CA4B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6B8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9184E"/>
    <w:multiLevelType w:val="hybridMultilevel"/>
    <w:tmpl w:val="60F0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311FD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2237B"/>
    <w:rsid w:val="00C30C27"/>
    <w:rsid w:val="00C5751D"/>
    <w:rsid w:val="00C828EF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61C71"/>
    <w:rsid w:val="00E76939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1C71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t">
    <w:name w:val="ft"/>
    <w:rsid w:val="00C828EF"/>
  </w:style>
  <w:style w:type="character" w:customStyle="1" w:styleId="Cmsor1Char">
    <w:name w:val="Címsor 1 Char"/>
    <w:basedOn w:val="Bekezdsalapbettpusa"/>
    <w:link w:val="Cmsor1"/>
    <w:uiPriority w:val="9"/>
    <w:rsid w:val="00E61C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2017-10-18T08:57:00Z</cp:lastPrinted>
  <dcterms:created xsi:type="dcterms:W3CDTF">2018-09-14T11:50:00Z</dcterms:created>
  <dcterms:modified xsi:type="dcterms:W3CDTF">2018-09-14T11:58:00Z</dcterms:modified>
</cp:coreProperties>
</file>