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6F" w:rsidRDefault="000C5377" w:rsidP="000C5377">
      <w:pPr>
        <w:tabs>
          <w:tab w:val="left" w:pos="5670"/>
        </w:tabs>
        <w:jc w:val="center"/>
        <w:rPr>
          <w:b/>
        </w:rPr>
      </w:pPr>
      <w:r>
        <w:rPr>
          <w:b/>
        </w:rPr>
        <w:t>Tematika</w:t>
      </w:r>
    </w:p>
    <w:p w:rsidR="000C5377" w:rsidRDefault="000C5377" w:rsidP="00C5751D">
      <w:pPr>
        <w:tabs>
          <w:tab w:val="left" w:pos="5670"/>
        </w:tabs>
        <w:rPr>
          <w:b/>
        </w:rPr>
      </w:pPr>
    </w:p>
    <w:p w:rsidR="00B861D3" w:rsidRDefault="00647D99" w:rsidP="0075520F">
      <w:pPr>
        <w:tabs>
          <w:tab w:val="left" w:pos="5670"/>
        </w:tabs>
        <w:rPr>
          <w:b/>
        </w:rPr>
      </w:pPr>
      <w:r w:rsidRPr="005E1EED">
        <w:rPr>
          <w:b/>
        </w:rPr>
        <w:t xml:space="preserve">Tantárgy: </w:t>
      </w:r>
      <w:r w:rsidR="00B861D3" w:rsidRPr="00B1199B">
        <w:rPr>
          <w:b/>
        </w:rPr>
        <w:t xml:space="preserve">A felnőttképzés módszertana </w:t>
      </w:r>
    </w:p>
    <w:p w:rsidR="00647D99" w:rsidRPr="005E1EED" w:rsidRDefault="00647D99" w:rsidP="0075520F">
      <w:pPr>
        <w:tabs>
          <w:tab w:val="left" w:pos="5670"/>
        </w:tabs>
        <w:rPr>
          <w:b/>
        </w:rPr>
      </w:pPr>
      <w:r w:rsidRPr="005E1EED">
        <w:rPr>
          <w:b/>
        </w:rPr>
        <w:t>Évfolyam, szak:</w:t>
      </w:r>
      <w:r w:rsidRPr="005E1EED">
        <w:t xml:space="preserve"> </w:t>
      </w:r>
      <w:r w:rsidR="00B861D3">
        <w:t>I-</w:t>
      </w:r>
      <w:r w:rsidRPr="005E1EED">
        <w:t xml:space="preserve">II. évfolyam, andragógia </w:t>
      </w:r>
      <w:r w:rsidR="00B861D3">
        <w:t>M</w:t>
      </w:r>
      <w:r w:rsidRPr="005E1EED">
        <w:t>A</w:t>
      </w:r>
    </w:p>
    <w:p w:rsidR="00F11A6F" w:rsidRPr="005E1EED" w:rsidRDefault="00F11A6F" w:rsidP="00C52BA8">
      <w:pPr>
        <w:jc w:val="both"/>
      </w:pPr>
      <w:r w:rsidRPr="005E1EED">
        <w:rPr>
          <w:b/>
        </w:rPr>
        <w:t xml:space="preserve">Tanegységzárás: </w:t>
      </w:r>
      <w:r w:rsidRPr="005E1EED">
        <w:t>gyakorlati jegy</w:t>
      </w:r>
    </w:p>
    <w:p w:rsidR="00F11A6F" w:rsidRPr="005E1EED" w:rsidRDefault="00F11A6F" w:rsidP="00C52BA8">
      <w:pPr>
        <w:jc w:val="both"/>
      </w:pPr>
      <w:r w:rsidRPr="005E1EED">
        <w:rPr>
          <w:b/>
        </w:rPr>
        <w:t>A tanegység adatai:</w:t>
      </w:r>
      <w:r w:rsidR="00647D99" w:rsidRPr="005E1EED">
        <w:rPr>
          <w:b/>
        </w:rPr>
        <w:t xml:space="preserve"> </w:t>
      </w:r>
      <w:r w:rsidRPr="005E1EED">
        <w:t>201</w:t>
      </w:r>
      <w:r w:rsidR="00510898" w:rsidRPr="005E1EED">
        <w:t>8</w:t>
      </w:r>
      <w:r w:rsidRPr="005E1EED">
        <w:t>/201</w:t>
      </w:r>
      <w:r w:rsidR="00510898" w:rsidRPr="005E1EED">
        <w:t>9</w:t>
      </w:r>
      <w:r w:rsidRPr="005E1EED">
        <w:t>. II. félév; 2 óra/hét szeminárium; 2 kredit</w:t>
      </w:r>
    </w:p>
    <w:p w:rsidR="00F11A6F" w:rsidRPr="005E1EED" w:rsidRDefault="00F11A6F" w:rsidP="00C52BA8">
      <w:pPr>
        <w:tabs>
          <w:tab w:val="left" w:pos="7797"/>
          <w:tab w:val="left" w:pos="8505"/>
          <w:tab w:val="left" w:pos="8647"/>
        </w:tabs>
        <w:jc w:val="both"/>
        <w:rPr>
          <w:b/>
        </w:rPr>
      </w:pPr>
    </w:p>
    <w:p w:rsidR="00F11A6F" w:rsidRPr="005E1EED" w:rsidRDefault="00F11A6F" w:rsidP="00220BBB">
      <w:pPr>
        <w:jc w:val="both"/>
      </w:pPr>
      <w:r w:rsidRPr="005E1EED">
        <w:rPr>
          <w:i/>
        </w:rPr>
        <w:t>A tantárgy célja:</w:t>
      </w:r>
    </w:p>
    <w:p w:rsidR="00F11A6F" w:rsidRPr="005E1EED" w:rsidRDefault="00F11A6F" w:rsidP="00220BBB">
      <w:pPr>
        <w:jc w:val="both"/>
      </w:pPr>
      <w:r w:rsidRPr="005E1EED">
        <w:t>A tantárgy célja, hogy a hallgatók megismerkedjenek</w:t>
      </w:r>
      <w:r w:rsidRPr="005E1EED">
        <w:rPr>
          <w:color w:val="FF0000"/>
        </w:rPr>
        <w:t xml:space="preserve"> </w:t>
      </w:r>
      <w:r w:rsidRPr="005E1EED">
        <w:t xml:space="preserve">a felnőtt tanulás sajátosságaival, felnőttek eredményes tanításának követelményeivel. A félév során foglalkozunk az előadások felépítésével, didaktikai szempontból történő szemléltetésével, kompetenciafejlesztő gyakorlatokkal, aktivizáló módszerekkel, körbejárjuk az </w:t>
      </w:r>
      <w:proofErr w:type="spellStart"/>
      <w:r w:rsidRPr="005E1EED">
        <w:t>andragógus</w:t>
      </w:r>
      <w:proofErr w:type="spellEnd"/>
      <w:r w:rsidRPr="005E1EED">
        <w:t xml:space="preserve"> kompetenciák sajátosságainak kérdéskörét.</w:t>
      </w:r>
    </w:p>
    <w:p w:rsidR="00F11A6F" w:rsidRPr="005E1EED" w:rsidRDefault="00F11A6F" w:rsidP="00240AFD">
      <w:pPr>
        <w:jc w:val="both"/>
      </w:pPr>
    </w:p>
    <w:p w:rsidR="00B861D3" w:rsidRPr="00B1199B" w:rsidRDefault="00B861D3" w:rsidP="00B861D3">
      <w:pPr>
        <w:jc w:val="both"/>
        <w:rPr>
          <w:b/>
        </w:rPr>
      </w:pPr>
      <w:r w:rsidRPr="00B1199B">
        <w:rPr>
          <w:b/>
        </w:rPr>
        <w:t>Témakörök:</w:t>
      </w:r>
    </w:p>
    <w:p w:rsidR="00B861D3" w:rsidRPr="00B1199B" w:rsidRDefault="00B861D3" w:rsidP="00B861D3">
      <w:pPr>
        <w:jc w:val="both"/>
        <w:rPr>
          <w:b/>
          <w:bCs/>
        </w:rPr>
      </w:pPr>
      <w:r w:rsidRPr="00B1199B">
        <w:t>1. A felnőttképzés módszertani sajátosságai. A felnőtt tanulók jellemzői és ezek hatása az oktatás módszertanára.</w:t>
      </w:r>
    </w:p>
    <w:p w:rsidR="00B861D3" w:rsidRPr="00B1199B" w:rsidRDefault="00B861D3" w:rsidP="00B861D3">
      <w:pPr>
        <w:jc w:val="both"/>
        <w:rPr>
          <w:bCs/>
        </w:rPr>
      </w:pPr>
      <w:r w:rsidRPr="00B1199B">
        <w:t>2. Az előadóközpontú módszerek sajátosságai</w:t>
      </w:r>
      <w:r w:rsidRPr="00B1199B">
        <w:rPr>
          <w:bCs/>
        </w:rPr>
        <w:t xml:space="preserve"> (</w:t>
      </w:r>
      <w:r w:rsidRPr="00B1199B">
        <w:t>előadás</w:t>
      </w:r>
      <w:r w:rsidRPr="00B1199B">
        <w:rPr>
          <w:bCs/>
        </w:rPr>
        <w:t xml:space="preserve">, </w:t>
      </w:r>
      <w:r w:rsidRPr="00B1199B">
        <w:t>tanbeszélgetés</w:t>
      </w:r>
      <w:r w:rsidRPr="00B1199B">
        <w:rPr>
          <w:bCs/>
        </w:rPr>
        <w:t xml:space="preserve">, </w:t>
      </w:r>
      <w:r w:rsidRPr="00B1199B">
        <w:t>kerekasztal stb.).</w:t>
      </w:r>
    </w:p>
    <w:p w:rsidR="00B861D3" w:rsidRPr="00B1199B" w:rsidRDefault="00B861D3" w:rsidP="00B861D3">
      <w:pPr>
        <w:jc w:val="both"/>
      </w:pPr>
      <w:r w:rsidRPr="00B1199B">
        <w:t xml:space="preserve">3. A résztvevőközpontú módszerek sajátosságai </w:t>
      </w:r>
      <w:r w:rsidRPr="00B1199B">
        <w:rPr>
          <w:bCs/>
        </w:rPr>
        <w:t>(</w:t>
      </w:r>
      <w:r w:rsidRPr="00B1199B">
        <w:t>csoportmunka</w:t>
      </w:r>
      <w:r w:rsidRPr="00B1199B">
        <w:rPr>
          <w:bCs/>
        </w:rPr>
        <w:t xml:space="preserve">, </w:t>
      </w:r>
      <w:r w:rsidRPr="00B1199B">
        <w:t>projektmódszer, vita technika stb.).</w:t>
      </w:r>
    </w:p>
    <w:p w:rsidR="00B861D3" w:rsidRPr="00B1199B" w:rsidRDefault="00B861D3" w:rsidP="00B861D3">
      <w:pPr>
        <w:jc w:val="both"/>
        <w:rPr>
          <w:color w:val="000000"/>
        </w:rPr>
      </w:pPr>
      <w:r w:rsidRPr="00B1199B">
        <w:rPr>
          <w:color w:val="000000"/>
        </w:rPr>
        <w:t>5. Előadások elemzése.</w:t>
      </w:r>
    </w:p>
    <w:p w:rsidR="00B861D3" w:rsidRPr="00B1199B" w:rsidRDefault="00B861D3" w:rsidP="00B861D3">
      <w:pPr>
        <w:jc w:val="both"/>
        <w:rPr>
          <w:color w:val="000000"/>
        </w:rPr>
      </w:pPr>
      <w:r w:rsidRPr="00B1199B">
        <w:t xml:space="preserve">6. </w:t>
      </w:r>
      <w:r w:rsidRPr="00B1199B">
        <w:rPr>
          <w:color w:val="000000"/>
        </w:rPr>
        <w:t>Képzési tervek, óratervek összeállítása.</w:t>
      </w:r>
    </w:p>
    <w:p w:rsidR="00B861D3" w:rsidRPr="00B1199B" w:rsidRDefault="00B861D3" w:rsidP="00B861D3">
      <w:pPr>
        <w:jc w:val="both"/>
        <w:rPr>
          <w:bCs/>
        </w:rPr>
      </w:pPr>
      <w:r w:rsidRPr="00B1199B">
        <w:t xml:space="preserve">7. </w:t>
      </w:r>
      <w:proofErr w:type="spellStart"/>
      <w:r w:rsidRPr="00B1199B">
        <w:t>Mikrofoglalkozás</w:t>
      </w:r>
      <w:proofErr w:type="spellEnd"/>
      <w:r w:rsidRPr="00B1199B">
        <w:t xml:space="preserve"> tartása egy szabadon választott felnőttoktatási, -képzési témakörben.</w:t>
      </w:r>
    </w:p>
    <w:p w:rsidR="00F11A6F" w:rsidRPr="005E1EED" w:rsidRDefault="00F11A6F" w:rsidP="00220BBB">
      <w:pPr>
        <w:autoSpaceDE/>
        <w:autoSpaceDN/>
        <w:adjustRightInd/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816"/>
        <w:gridCol w:w="7666"/>
      </w:tblGrid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Hét</w:t>
            </w:r>
          </w:p>
        </w:tc>
        <w:tc>
          <w:tcPr>
            <w:tcW w:w="816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Nap</w:t>
            </w:r>
          </w:p>
        </w:tc>
        <w:tc>
          <w:tcPr>
            <w:tcW w:w="7666" w:type="dxa"/>
          </w:tcPr>
          <w:p w:rsidR="00F11A6F" w:rsidRPr="005E1EED" w:rsidRDefault="00F11A6F" w:rsidP="00C52BA8">
            <w:pPr>
              <w:jc w:val="both"/>
              <w:rPr>
                <w:b/>
              </w:rPr>
            </w:pPr>
            <w:r w:rsidRPr="005E1EED">
              <w:rPr>
                <w:b/>
              </w:rPr>
              <w:t>Téma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1.</w:t>
            </w:r>
          </w:p>
        </w:tc>
        <w:tc>
          <w:tcPr>
            <w:tcW w:w="816" w:type="dxa"/>
          </w:tcPr>
          <w:p w:rsidR="00F11A6F" w:rsidRDefault="00F11A6F" w:rsidP="00220BBB">
            <w:pPr>
              <w:jc w:val="both"/>
            </w:pPr>
            <w:r w:rsidRPr="005E1EED">
              <w:t>0</w:t>
            </w:r>
            <w:r w:rsidR="00B861D3">
              <w:t>3</w:t>
            </w:r>
            <w:r w:rsidRPr="005E1EED">
              <w:t>.</w:t>
            </w:r>
            <w:r w:rsidR="00B861D3">
              <w:t>0</w:t>
            </w:r>
            <w:r w:rsidR="00510898" w:rsidRPr="005E1EED">
              <w:t>2</w:t>
            </w:r>
            <w:r w:rsidRPr="005E1EED">
              <w:t>.</w:t>
            </w:r>
          </w:p>
          <w:p w:rsidR="00B861D3" w:rsidRPr="005E1EED" w:rsidRDefault="00B861D3" w:rsidP="00220BBB">
            <w:pPr>
              <w:jc w:val="both"/>
            </w:pPr>
            <w:r>
              <w:t>10 óra</w:t>
            </w:r>
          </w:p>
        </w:tc>
        <w:tc>
          <w:tcPr>
            <w:tcW w:w="7666" w:type="dxa"/>
          </w:tcPr>
          <w:p w:rsidR="00B861D3" w:rsidRPr="005E1EED" w:rsidRDefault="00B861D3" w:rsidP="00B861D3">
            <w:pPr>
              <w:jc w:val="both"/>
            </w:pPr>
            <w:r w:rsidRPr="005E1EED">
              <w:t>A kurzus céljának, követelményeinek ismertetése</w:t>
            </w:r>
          </w:p>
          <w:p w:rsidR="00B861D3" w:rsidRDefault="00B861D3" w:rsidP="00B861D3">
            <w:pPr>
              <w:jc w:val="both"/>
            </w:pPr>
            <w:r w:rsidRPr="005E1EED">
              <w:t>Az előzetes ismeretek feltárása</w:t>
            </w:r>
          </w:p>
          <w:p w:rsidR="00B861D3" w:rsidRPr="00B1199B" w:rsidRDefault="00B861D3" w:rsidP="00B861D3">
            <w:pPr>
              <w:jc w:val="both"/>
              <w:rPr>
                <w:b/>
                <w:bCs/>
              </w:rPr>
            </w:pPr>
            <w:r w:rsidRPr="00B1199B">
              <w:t>A felnőttképzés módszertani sajátosságai. A felnőtt tanulók jellemzői és ezek hatása az oktatás módszertanára.</w:t>
            </w:r>
          </w:p>
          <w:p w:rsidR="00B861D3" w:rsidRPr="00B1199B" w:rsidRDefault="00B861D3" w:rsidP="00B861D3">
            <w:pPr>
              <w:jc w:val="both"/>
              <w:rPr>
                <w:bCs/>
              </w:rPr>
            </w:pPr>
            <w:r w:rsidRPr="00B1199B">
              <w:t>Az előadóközpontú módszerek sajátosságai</w:t>
            </w:r>
            <w:r w:rsidRPr="00B1199B">
              <w:rPr>
                <w:bCs/>
              </w:rPr>
              <w:t xml:space="preserve"> (</w:t>
            </w:r>
            <w:r w:rsidRPr="00B1199B">
              <w:t>előadás</w:t>
            </w:r>
            <w:r w:rsidRPr="00B1199B">
              <w:rPr>
                <w:bCs/>
              </w:rPr>
              <w:t xml:space="preserve">, </w:t>
            </w:r>
            <w:r w:rsidRPr="00B1199B">
              <w:t>tanbeszélgetés</w:t>
            </w:r>
            <w:r w:rsidRPr="00B1199B">
              <w:rPr>
                <w:bCs/>
              </w:rPr>
              <w:t xml:space="preserve">, </w:t>
            </w:r>
            <w:r w:rsidRPr="00B1199B">
              <w:t>kerekasztal stb.).</w:t>
            </w:r>
          </w:p>
          <w:p w:rsidR="00B861D3" w:rsidRPr="00B1199B" w:rsidRDefault="00B861D3" w:rsidP="00B861D3">
            <w:pPr>
              <w:jc w:val="both"/>
            </w:pPr>
            <w:r w:rsidRPr="00B1199B">
              <w:t xml:space="preserve">A résztvevőközpontú módszerek sajátosságai </w:t>
            </w:r>
            <w:r w:rsidRPr="00B1199B">
              <w:rPr>
                <w:bCs/>
              </w:rPr>
              <w:t>(</w:t>
            </w:r>
            <w:r w:rsidRPr="00B1199B">
              <w:t>csoportmunka</w:t>
            </w:r>
            <w:r w:rsidRPr="00B1199B">
              <w:rPr>
                <w:bCs/>
              </w:rPr>
              <w:t xml:space="preserve">, </w:t>
            </w:r>
            <w:r w:rsidRPr="00B1199B">
              <w:t>projektmódszer, vita technika stb.).</w:t>
            </w:r>
          </w:p>
          <w:p w:rsidR="00F11A6F" w:rsidRDefault="00B861D3" w:rsidP="00B861D3">
            <w:pPr>
              <w:jc w:val="both"/>
            </w:pPr>
            <w:r w:rsidRPr="005E1EED">
              <w:t>Az előadások felépítése, szemléltetése didaktikai szempontból</w:t>
            </w:r>
          </w:p>
          <w:p w:rsidR="00B861D3" w:rsidRPr="005E1EED" w:rsidRDefault="00B861D3" w:rsidP="00B861D3">
            <w:pPr>
              <w:jc w:val="both"/>
            </w:pPr>
            <w:r w:rsidRPr="005E1EED">
              <w:t>A kiscsoportos munka jellemzői</w:t>
            </w:r>
            <w:r>
              <w:t>.</w:t>
            </w:r>
          </w:p>
        </w:tc>
      </w:tr>
      <w:tr w:rsidR="00B861D3" w:rsidRPr="005E1EED" w:rsidTr="0075788C">
        <w:tc>
          <w:tcPr>
            <w:tcW w:w="590" w:type="dxa"/>
          </w:tcPr>
          <w:p w:rsidR="00B861D3" w:rsidRPr="005E1EED" w:rsidRDefault="00B861D3" w:rsidP="00C52BA8">
            <w:pPr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16" w:type="dxa"/>
          </w:tcPr>
          <w:p w:rsidR="00B861D3" w:rsidRDefault="00B861D3" w:rsidP="00220BBB">
            <w:pPr>
              <w:jc w:val="both"/>
            </w:pPr>
            <w:r>
              <w:t>03.23.</w:t>
            </w:r>
          </w:p>
          <w:p w:rsidR="00B861D3" w:rsidRPr="005E1EED" w:rsidRDefault="00B861D3" w:rsidP="00220BBB">
            <w:pPr>
              <w:jc w:val="both"/>
            </w:pPr>
            <w:r>
              <w:t>5 óra</w:t>
            </w:r>
          </w:p>
        </w:tc>
        <w:tc>
          <w:tcPr>
            <w:tcW w:w="7666" w:type="dxa"/>
          </w:tcPr>
          <w:p w:rsidR="00B861D3" w:rsidRDefault="00B861D3" w:rsidP="00E909ED">
            <w:r w:rsidRPr="005E1EED">
              <w:t>Olvasmányélmények a témában – Könyvek az előadásról</w:t>
            </w:r>
          </w:p>
          <w:p w:rsidR="00B861D3" w:rsidRPr="005E1EED" w:rsidRDefault="00B861D3" w:rsidP="00E909ED">
            <w:r w:rsidRPr="005E1EED">
              <w:t>Előadások az előadásról – előadásmódról, a sikeres előadás tartalmi, formai jellemzőiről, az el</w:t>
            </w:r>
            <w:r w:rsidR="00ED790E">
              <w:t>ő</w:t>
            </w:r>
            <w:r w:rsidRPr="005E1EED">
              <w:t>adótól elvárt készségekről, milyen a jó előadás stb.</w:t>
            </w:r>
          </w:p>
        </w:tc>
      </w:tr>
      <w:tr w:rsidR="00F11A6F" w:rsidRPr="005E1EED" w:rsidTr="0075788C">
        <w:tc>
          <w:tcPr>
            <w:tcW w:w="590" w:type="dxa"/>
          </w:tcPr>
          <w:p w:rsidR="00F11A6F" w:rsidRPr="005E1EED" w:rsidRDefault="00F11A6F" w:rsidP="00C52BA8">
            <w:pPr>
              <w:autoSpaceDE/>
              <w:autoSpaceDN/>
              <w:adjustRightInd/>
              <w:jc w:val="both"/>
              <w:rPr>
                <w:b/>
              </w:rPr>
            </w:pPr>
            <w:r w:rsidRPr="005E1EED">
              <w:rPr>
                <w:b/>
              </w:rPr>
              <w:t>3.</w:t>
            </w:r>
          </w:p>
        </w:tc>
        <w:tc>
          <w:tcPr>
            <w:tcW w:w="816" w:type="dxa"/>
          </w:tcPr>
          <w:p w:rsidR="00F11A6F" w:rsidRPr="005E1EED" w:rsidRDefault="00F11A6F" w:rsidP="00220BBB">
            <w:pPr>
              <w:jc w:val="both"/>
            </w:pPr>
            <w:r w:rsidRPr="005E1EED">
              <w:t>0</w:t>
            </w:r>
            <w:r w:rsidR="00B861D3">
              <w:t>5</w:t>
            </w:r>
            <w:r w:rsidRPr="005E1EED">
              <w:t>.</w:t>
            </w:r>
            <w:r w:rsidR="00B861D3">
              <w:t>03. 5 óra</w:t>
            </w:r>
          </w:p>
        </w:tc>
        <w:tc>
          <w:tcPr>
            <w:tcW w:w="7666" w:type="dxa"/>
          </w:tcPr>
          <w:p w:rsidR="00B861D3" w:rsidRDefault="00B861D3" w:rsidP="00B861D3">
            <w:pPr>
              <w:pStyle w:val="NormlWeb"/>
              <w:spacing w:before="0" w:beforeAutospacing="0" w:after="0" w:afterAutospacing="0"/>
              <w:jc w:val="both"/>
            </w:pPr>
            <w:r w:rsidRPr="005E1EED">
              <w:t>Kiscsoportos foglalkozások</w:t>
            </w:r>
          </w:p>
          <w:p w:rsidR="00B861D3" w:rsidRPr="005E1EED" w:rsidRDefault="00B861D3" w:rsidP="00B861D3">
            <w:r>
              <w:t>A</w:t>
            </w:r>
            <w:r w:rsidRPr="005E1EED">
              <w:t xml:space="preserve"> kurzus zárása, a félév értékelése</w:t>
            </w:r>
          </w:p>
        </w:tc>
      </w:tr>
    </w:tbl>
    <w:p w:rsidR="00F11A6F" w:rsidRPr="005E1EED" w:rsidRDefault="00F11A6F" w:rsidP="00807988">
      <w:pPr>
        <w:jc w:val="both"/>
      </w:pPr>
    </w:p>
    <w:p w:rsidR="00F11A6F" w:rsidRPr="005E1EED" w:rsidRDefault="00F11A6F" w:rsidP="00C52BA8">
      <w:pPr>
        <w:autoSpaceDE/>
        <w:autoSpaceDN/>
        <w:adjustRightInd/>
        <w:jc w:val="both"/>
        <w:rPr>
          <w:b/>
          <w:lang w:eastAsia="en-US"/>
        </w:rPr>
      </w:pPr>
      <w:r w:rsidRPr="005E1EED">
        <w:rPr>
          <w:b/>
          <w:lang w:eastAsia="en-US"/>
        </w:rPr>
        <w:t xml:space="preserve">A tantárgy teljesítésének </w:t>
      </w:r>
      <w:r w:rsidR="00731878">
        <w:rPr>
          <w:b/>
          <w:lang w:eastAsia="en-US"/>
        </w:rPr>
        <w:t>feltételei</w:t>
      </w:r>
      <w:r w:rsidRPr="005E1EED">
        <w:rPr>
          <w:b/>
          <w:lang w:eastAsia="en-US"/>
        </w:rPr>
        <w:t>:</w:t>
      </w:r>
    </w:p>
    <w:p w:rsidR="00F11A6F" w:rsidRPr="005E1EED" w:rsidRDefault="00F11A6F" w:rsidP="0075788C">
      <w:pPr>
        <w:jc w:val="both"/>
      </w:pPr>
      <w:r w:rsidRPr="005E1EED">
        <w:t>1. Olvasmányélmény bemutatás</w:t>
      </w:r>
      <w:r w:rsidR="00492B70">
        <w:t>a</w:t>
      </w:r>
      <w:r w:rsidR="00731878">
        <w:t>.</w:t>
      </w:r>
    </w:p>
    <w:p w:rsidR="00F11A6F" w:rsidRPr="005E1EED" w:rsidRDefault="00F11A6F" w:rsidP="0075788C">
      <w:pPr>
        <w:autoSpaceDE/>
        <w:autoSpaceDN/>
        <w:adjustRightInd/>
        <w:jc w:val="both"/>
        <w:rPr>
          <w:lang w:eastAsia="en-US"/>
        </w:rPr>
      </w:pPr>
      <w:r w:rsidRPr="005E1EED">
        <w:rPr>
          <w:lang w:eastAsia="en-US"/>
        </w:rPr>
        <w:t>2. Előadás bemutatás – beszélgetés generálása</w:t>
      </w:r>
      <w:r w:rsidR="00731878">
        <w:rPr>
          <w:lang w:eastAsia="en-US"/>
        </w:rPr>
        <w:t>.</w:t>
      </w:r>
    </w:p>
    <w:p w:rsidR="00731878" w:rsidRPr="00B1199B" w:rsidRDefault="00F11A6F" w:rsidP="00731878">
      <w:pPr>
        <w:jc w:val="both"/>
      </w:pPr>
      <w:r w:rsidRPr="005E1EED">
        <w:t xml:space="preserve">3. </w:t>
      </w:r>
      <w:r w:rsidR="00731878" w:rsidRPr="00B1199B">
        <w:t>20-40 perces felnőttoktatás- és képzés témakörű foglalkozás (a módszer választható a témához illően) tartása, az előadás-foglalkozás óraterv</w:t>
      </w:r>
      <w:r w:rsidR="00731878">
        <w:t>ének elkészítése.</w:t>
      </w:r>
    </w:p>
    <w:p w:rsidR="00F11A6F" w:rsidRDefault="00F11A6F" w:rsidP="0075788C">
      <w:r w:rsidRPr="005E1EED">
        <w:t>4. Egy foglalkozás hospitálása, jegyzőkönyv készítése.</w:t>
      </w:r>
    </w:p>
    <w:p w:rsidR="00492B70" w:rsidRPr="005E1EED" w:rsidRDefault="00492B70" w:rsidP="0075788C">
      <w:r>
        <w:t>5. A DE állásbörzéjén (04.17.)</w:t>
      </w:r>
      <w:bookmarkStart w:id="0" w:name="_GoBack"/>
      <w:bookmarkEnd w:id="0"/>
      <w:r>
        <w:t xml:space="preserve"> tevékenykedés.</w:t>
      </w:r>
    </w:p>
    <w:p w:rsidR="00F11A6F" w:rsidRPr="00EA3A0F" w:rsidRDefault="00F11A6F" w:rsidP="0075788C">
      <w:pPr>
        <w:rPr>
          <w:lang w:eastAsia="en-US"/>
        </w:rPr>
      </w:pPr>
      <w:r w:rsidRPr="005E1EED">
        <w:rPr>
          <w:b/>
        </w:rPr>
        <w:t>L</w:t>
      </w:r>
      <w:r w:rsidRPr="005E1EED">
        <w:rPr>
          <w:b/>
          <w:color w:val="000000"/>
        </w:rPr>
        <w:t xml:space="preserve">eadási határidő: </w:t>
      </w:r>
      <w:r w:rsidR="00B861D3">
        <w:rPr>
          <w:color w:val="000000"/>
        </w:rPr>
        <w:t>május 03</w:t>
      </w:r>
      <w:r w:rsidRPr="00EA3A0F">
        <w:rPr>
          <w:color w:val="000000"/>
        </w:rPr>
        <w:t>.</w:t>
      </w:r>
      <w:r w:rsidR="005E1EED" w:rsidRPr="00EA3A0F">
        <w:rPr>
          <w:color w:val="000000"/>
        </w:rPr>
        <w:t xml:space="preserve"> (</w:t>
      </w:r>
      <w:proofErr w:type="spellStart"/>
      <w:r w:rsidR="005E1EED" w:rsidRPr="00EA3A0F">
        <w:rPr>
          <w:color w:val="000000"/>
        </w:rPr>
        <w:t>moodle</w:t>
      </w:r>
      <w:proofErr w:type="spellEnd"/>
      <w:r w:rsidR="005E1EED" w:rsidRPr="00EA3A0F">
        <w:rPr>
          <w:color w:val="000000"/>
        </w:rPr>
        <w:t xml:space="preserve"> feltöltés)</w:t>
      </w:r>
    </w:p>
    <w:p w:rsidR="00F11A6F" w:rsidRDefault="00F11A6F" w:rsidP="0075788C">
      <w:pPr>
        <w:tabs>
          <w:tab w:val="left" w:pos="5670"/>
        </w:tabs>
        <w:jc w:val="both"/>
      </w:pPr>
    </w:p>
    <w:p w:rsidR="00731878" w:rsidRPr="00B1199B" w:rsidRDefault="00731878" w:rsidP="00731878">
      <w:pPr>
        <w:jc w:val="both"/>
        <w:rPr>
          <w:b/>
        </w:rPr>
      </w:pPr>
      <w:r w:rsidRPr="00B1199B">
        <w:rPr>
          <w:b/>
        </w:rPr>
        <w:t>Kötelező irodalom:</w:t>
      </w:r>
    </w:p>
    <w:p w:rsidR="00731878" w:rsidRPr="00731878" w:rsidRDefault="00731878" w:rsidP="00731878">
      <w:pPr>
        <w:jc w:val="both"/>
      </w:pPr>
      <w:r w:rsidRPr="00B1199B">
        <w:t>Falus Iván (2003): Az oktatás stratégiái és módszerei. In</w:t>
      </w:r>
      <w:r w:rsidRPr="00B1199B">
        <w:rPr>
          <w:b/>
          <w:bCs/>
        </w:rPr>
        <w:t xml:space="preserve"> </w:t>
      </w:r>
      <w:r w:rsidRPr="00B1199B">
        <w:t>Falus Iván (szerk.) (2003</w:t>
      </w:r>
      <w:r w:rsidRPr="00731878">
        <w:t xml:space="preserve">): </w:t>
      </w:r>
      <w:r w:rsidRPr="00731878">
        <w:rPr>
          <w:iCs/>
        </w:rPr>
        <w:t xml:space="preserve">Didaktika. Elméleti alapok a tanítás tanulásához. </w:t>
      </w:r>
      <w:r w:rsidRPr="00731878">
        <w:t>Budapest, Nemzeti Tankönyvkiadó 244-296.o.</w:t>
      </w:r>
    </w:p>
    <w:p w:rsidR="00731878" w:rsidRPr="00731878" w:rsidRDefault="00731878" w:rsidP="00731878">
      <w:pPr>
        <w:autoSpaceDE/>
        <w:autoSpaceDN/>
        <w:adjustRightInd/>
        <w:jc w:val="both"/>
      </w:pPr>
      <w:r w:rsidRPr="00731878">
        <w:lastRenderedPageBreak/>
        <w:t xml:space="preserve">Fehérvári Anikó – Györgyi Zoltán (2015): Tanulási attitűdök, tanulási stratégiák. </w:t>
      </w:r>
      <w:r>
        <w:t>Budapest</w:t>
      </w:r>
      <w:r w:rsidRPr="00731878">
        <w:t>, Oktatáskutató és Fejlesztő Intézet, ISBN 978 963 682 889 9</w:t>
      </w:r>
    </w:p>
    <w:p w:rsidR="00731878" w:rsidRPr="00731878" w:rsidRDefault="00731878" w:rsidP="00731878">
      <w:pPr>
        <w:jc w:val="both"/>
      </w:pPr>
      <w:r w:rsidRPr="00731878">
        <w:t xml:space="preserve">Cserné </w:t>
      </w:r>
      <w:proofErr w:type="spellStart"/>
      <w:r w:rsidRPr="00731878">
        <w:t>Adermann</w:t>
      </w:r>
      <w:proofErr w:type="spellEnd"/>
      <w:r w:rsidRPr="00731878">
        <w:t xml:space="preserve"> Gizella (2006): A felnőttek tanulásának, tanításának új, korszerű módszerei az élethosszig tartó tanulás aspektusából. In Koltai Dénes – Lada László (szerk.): </w:t>
      </w:r>
      <w:r w:rsidRPr="00731878">
        <w:rPr>
          <w:iCs/>
        </w:rPr>
        <w:t>Az andragógia korszerű eszközeiről és módszereiről</w:t>
      </w:r>
      <w:r w:rsidRPr="00731878">
        <w:t>. Budapest, Nemzeti Felnőttképzési Intézet 85-104.o.</w:t>
      </w:r>
    </w:p>
    <w:p w:rsidR="00731878" w:rsidRPr="00B1199B" w:rsidRDefault="00492B70" w:rsidP="00731878">
      <w:pPr>
        <w:jc w:val="both"/>
        <w:rPr>
          <w:b/>
        </w:rPr>
      </w:pPr>
      <w:hyperlink r:id="rId7" w:history="1">
        <w:r w:rsidR="00731878" w:rsidRPr="00B1199B">
          <w:rPr>
            <w:rStyle w:val="Hiperhivatkozs"/>
          </w:rPr>
          <w:t>https://www.nive.hu/index.php?option=com_content&amp;view=article&amp;id=43</w:t>
        </w:r>
      </w:hyperlink>
    </w:p>
    <w:p w:rsidR="00731878" w:rsidRPr="005E1EED" w:rsidRDefault="00731878" w:rsidP="00731878">
      <w:pPr>
        <w:shd w:val="clear" w:color="auto" w:fill="FFFFFF"/>
        <w:autoSpaceDE/>
        <w:autoSpaceDN/>
        <w:adjustRightInd/>
        <w:contextualSpacing/>
        <w:jc w:val="both"/>
      </w:pPr>
      <w:r w:rsidRPr="005E1EED">
        <w:t xml:space="preserve">Juhász Erika (2009): Tréningek tervezése és szervezése. In: </w:t>
      </w:r>
      <w:proofErr w:type="spellStart"/>
      <w:r w:rsidRPr="005E1EED">
        <w:t>Henczi</w:t>
      </w:r>
      <w:proofErr w:type="spellEnd"/>
      <w:r w:rsidRPr="005E1EED">
        <w:t xml:space="preserve"> Lajos (</w:t>
      </w:r>
      <w:proofErr w:type="spellStart"/>
      <w:r w:rsidRPr="005E1EED">
        <w:t>szerk</w:t>
      </w:r>
      <w:proofErr w:type="spellEnd"/>
      <w:r w:rsidRPr="005E1EED">
        <w:t xml:space="preserve">): Felnőttoktató. </w:t>
      </w:r>
      <w:r>
        <w:t>Budapest</w:t>
      </w:r>
      <w:r w:rsidRPr="005E1EED">
        <w:t>, Nemzeti Tankönyvkiadó, 328-332. p. ISBN 978-963-19-6798-2</w:t>
      </w:r>
    </w:p>
    <w:p w:rsidR="00731878" w:rsidRPr="00B1199B" w:rsidRDefault="00731878" w:rsidP="00731878">
      <w:pPr>
        <w:jc w:val="both"/>
        <w:rPr>
          <w:b/>
        </w:rPr>
      </w:pPr>
    </w:p>
    <w:p w:rsidR="00731878" w:rsidRPr="00B1199B" w:rsidRDefault="00731878" w:rsidP="00731878">
      <w:pPr>
        <w:jc w:val="both"/>
        <w:rPr>
          <w:b/>
        </w:rPr>
      </w:pPr>
      <w:r w:rsidRPr="00B1199B">
        <w:rPr>
          <w:b/>
        </w:rPr>
        <w:t>Ajánlott irodalom:</w:t>
      </w:r>
    </w:p>
    <w:p w:rsidR="00731878" w:rsidRPr="00731878" w:rsidRDefault="00731878" w:rsidP="00731878">
      <w:pPr>
        <w:jc w:val="both"/>
      </w:pPr>
      <w:proofErr w:type="spellStart"/>
      <w:r w:rsidRPr="00731878">
        <w:t>Brookfield</w:t>
      </w:r>
      <w:proofErr w:type="spellEnd"/>
      <w:r w:rsidRPr="00731878">
        <w:t xml:space="preserve">, Stephen D. (1986): </w:t>
      </w:r>
      <w:proofErr w:type="spellStart"/>
      <w:r w:rsidRPr="00731878">
        <w:rPr>
          <w:iCs/>
        </w:rPr>
        <w:t>Understanding</w:t>
      </w:r>
      <w:proofErr w:type="spellEnd"/>
      <w:r w:rsidRPr="00731878">
        <w:rPr>
          <w:iCs/>
        </w:rPr>
        <w:t xml:space="preserve"> and </w:t>
      </w:r>
      <w:proofErr w:type="spellStart"/>
      <w:r w:rsidRPr="00731878">
        <w:rPr>
          <w:iCs/>
        </w:rPr>
        <w:t>Facilitating</w:t>
      </w:r>
      <w:proofErr w:type="spellEnd"/>
      <w:r w:rsidRPr="00731878">
        <w:rPr>
          <w:iCs/>
        </w:rPr>
        <w:t xml:space="preserve"> </w:t>
      </w:r>
      <w:proofErr w:type="spellStart"/>
      <w:r w:rsidRPr="00731878">
        <w:rPr>
          <w:iCs/>
        </w:rPr>
        <w:t>Adult</w:t>
      </w:r>
      <w:proofErr w:type="spellEnd"/>
      <w:r w:rsidRPr="00731878">
        <w:rPr>
          <w:iCs/>
        </w:rPr>
        <w:t xml:space="preserve"> </w:t>
      </w:r>
      <w:proofErr w:type="spellStart"/>
      <w:r w:rsidRPr="00731878">
        <w:rPr>
          <w:iCs/>
        </w:rPr>
        <w:t>Learning</w:t>
      </w:r>
      <w:proofErr w:type="spellEnd"/>
      <w:r w:rsidRPr="00731878">
        <w:t>. Milton Keynes: Open University Press</w:t>
      </w:r>
    </w:p>
    <w:p w:rsidR="00731878" w:rsidRPr="00731878" w:rsidRDefault="00731878" w:rsidP="00731878">
      <w:pPr>
        <w:jc w:val="both"/>
        <w:rPr>
          <w:lang w:bidi="ml-IN"/>
        </w:rPr>
      </w:pPr>
      <w:r w:rsidRPr="00731878">
        <w:rPr>
          <w:lang w:bidi="ml-IN"/>
        </w:rPr>
        <w:t xml:space="preserve">Cserné </w:t>
      </w:r>
      <w:proofErr w:type="spellStart"/>
      <w:r w:rsidRPr="00731878">
        <w:rPr>
          <w:lang w:bidi="ml-IN"/>
        </w:rPr>
        <w:t>Adermann</w:t>
      </w:r>
      <w:proofErr w:type="spellEnd"/>
      <w:r w:rsidRPr="00731878">
        <w:rPr>
          <w:lang w:bidi="ml-IN"/>
        </w:rPr>
        <w:t xml:space="preserve"> Gizella: Felnőtteket tanítani – a laikus tanításfelfogás csapdái. In Feketéné Szakos Éva (szerk.): </w:t>
      </w:r>
      <w:r w:rsidRPr="00731878">
        <w:rPr>
          <w:iCs/>
          <w:lang w:bidi="ml-IN"/>
        </w:rPr>
        <w:t>Fókuszban a felnőttek tanulása</w:t>
      </w:r>
      <w:r w:rsidRPr="00731878">
        <w:rPr>
          <w:lang w:bidi="ml-IN"/>
        </w:rPr>
        <w:t xml:space="preserve">. Gödöllő, Szent István Egyetem, 2006. 53-58. p. </w:t>
      </w:r>
    </w:p>
    <w:p w:rsidR="00731878" w:rsidRPr="00731878" w:rsidRDefault="00731878" w:rsidP="00731878">
      <w:pPr>
        <w:tabs>
          <w:tab w:val="num" w:pos="1080"/>
        </w:tabs>
        <w:jc w:val="both"/>
      </w:pPr>
      <w:r w:rsidRPr="00731878">
        <w:t xml:space="preserve">Kadocsa László (2006): </w:t>
      </w:r>
      <w:r w:rsidRPr="00731878">
        <w:rPr>
          <w:iCs/>
        </w:rPr>
        <w:t>Atipikus oktatási módszerek</w:t>
      </w:r>
      <w:r w:rsidRPr="00731878">
        <w:t>. Budapest, Nemzeti Felnőttképzési Intézet</w:t>
      </w:r>
    </w:p>
    <w:p w:rsidR="00731878" w:rsidRPr="00731878" w:rsidRDefault="00731878" w:rsidP="00731878">
      <w:pPr>
        <w:jc w:val="both"/>
      </w:pPr>
      <w:proofErr w:type="spellStart"/>
      <w:r w:rsidRPr="00731878">
        <w:t>Knowles</w:t>
      </w:r>
      <w:proofErr w:type="spellEnd"/>
      <w:r w:rsidRPr="00731878">
        <w:t xml:space="preserve">, M. S. (1980): </w:t>
      </w:r>
      <w:r w:rsidRPr="00731878">
        <w:rPr>
          <w:iCs/>
        </w:rPr>
        <w:t xml:space="preserve">The modern </w:t>
      </w:r>
      <w:proofErr w:type="spellStart"/>
      <w:r w:rsidRPr="00731878">
        <w:rPr>
          <w:iCs/>
        </w:rPr>
        <w:t>practice</w:t>
      </w:r>
      <w:proofErr w:type="spellEnd"/>
      <w:r w:rsidRPr="00731878">
        <w:rPr>
          <w:iCs/>
        </w:rPr>
        <w:t xml:space="preserve"> of </w:t>
      </w:r>
      <w:proofErr w:type="spellStart"/>
      <w:r w:rsidRPr="00731878">
        <w:rPr>
          <w:iCs/>
        </w:rPr>
        <w:t>adult</w:t>
      </w:r>
      <w:proofErr w:type="spellEnd"/>
      <w:r w:rsidRPr="00731878">
        <w:rPr>
          <w:iCs/>
        </w:rPr>
        <w:t xml:space="preserve"> </w:t>
      </w:r>
      <w:proofErr w:type="spellStart"/>
      <w:r w:rsidRPr="00731878">
        <w:rPr>
          <w:iCs/>
        </w:rPr>
        <w:t>education</w:t>
      </w:r>
      <w:proofErr w:type="spellEnd"/>
      <w:r w:rsidRPr="00731878">
        <w:rPr>
          <w:iCs/>
        </w:rPr>
        <w:t xml:space="preserve">: </w:t>
      </w:r>
      <w:proofErr w:type="spellStart"/>
      <w:r w:rsidRPr="00731878">
        <w:rPr>
          <w:iCs/>
        </w:rPr>
        <w:t>From</w:t>
      </w:r>
      <w:proofErr w:type="spellEnd"/>
      <w:r w:rsidRPr="00731878">
        <w:rPr>
          <w:iCs/>
        </w:rPr>
        <w:t xml:space="preserve"> </w:t>
      </w:r>
      <w:proofErr w:type="spellStart"/>
      <w:r w:rsidRPr="00731878">
        <w:rPr>
          <w:iCs/>
        </w:rPr>
        <w:t>pedagogy</w:t>
      </w:r>
      <w:proofErr w:type="spellEnd"/>
      <w:r w:rsidRPr="00731878">
        <w:rPr>
          <w:iCs/>
        </w:rPr>
        <w:t xml:space="preserve"> </w:t>
      </w:r>
      <w:proofErr w:type="spellStart"/>
      <w:r w:rsidRPr="00731878">
        <w:rPr>
          <w:iCs/>
        </w:rPr>
        <w:t>to</w:t>
      </w:r>
      <w:proofErr w:type="spellEnd"/>
      <w:r w:rsidRPr="00731878">
        <w:rPr>
          <w:iCs/>
        </w:rPr>
        <w:t xml:space="preserve"> andragogy.</w:t>
      </w:r>
      <w:r w:rsidRPr="00731878">
        <w:t xml:space="preserve"> </w:t>
      </w:r>
      <w:proofErr w:type="spellStart"/>
      <w:r w:rsidRPr="00731878">
        <w:t>Englewood</w:t>
      </w:r>
      <w:proofErr w:type="spellEnd"/>
      <w:r w:rsidRPr="00731878">
        <w:t xml:space="preserve"> Cliffs: </w:t>
      </w:r>
      <w:proofErr w:type="spellStart"/>
      <w:r w:rsidRPr="00731878">
        <w:t>Prentice</w:t>
      </w:r>
      <w:proofErr w:type="spellEnd"/>
      <w:r w:rsidRPr="00731878">
        <w:t xml:space="preserve"> Hall/Cambridge. </w:t>
      </w:r>
    </w:p>
    <w:p w:rsidR="00731878" w:rsidRPr="00731878" w:rsidRDefault="00731878" w:rsidP="00731878">
      <w:pPr>
        <w:jc w:val="both"/>
      </w:pPr>
      <w:proofErr w:type="spellStart"/>
      <w:r w:rsidRPr="00731878">
        <w:t>Kraiciné</w:t>
      </w:r>
      <w:proofErr w:type="spellEnd"/>
      <w:r w:rsidRPr="00731878">
        <w:t xml:space="preserve"> Dr. </w:t>
      </w:r>
      <w:proofErr w:type="spellStart"/>
      <w:r w:rsidRPr="00731878">
        <w:t>Szokoly</w:t>
      </w:r>
      <w:proofErr w:type="spellEnd"/>
      <w:r w:rsidRPr="00731878">
        <w:t xml:space="preserve"> Mária (2004): Felnőttképzési módszertár. Budapest, Új Mandátum</w:t>
      </w:r>
    </w:p>
    <w:p w:rsidR="00731878" w:rsidRPr="00731878" w:rsidRDefault="00731878" w:rsidP="00731878">
      <w:pPr>
        <w:jc w:val="both"/>
      </w:pPr>
      <w:r w:rsidRPr="00731878">
        <w:t xml:space="preserve">Mayer József (szerk.) (2005): </w:t>
      </w:r>
      <w:r w:rsidRPr="00731878">
        <w:rPr>
          <w:iCs/>
        </w:rPr>
        <w:t>Munka és tanulás. Új utak keresése és új módszerek alkalmazása a hátrányos helyzetű felnőttek tanulásának elősegítéséhez.</w:t>
      </w:r>
      <w:r w:rsidRPr="00731878">
        <w:t xml:space="preserve"> Budapest, OKI</w:t>
      </w:r>
    </w:p>
    <w:p w:rsidR="00647D99" w:rsidRPr="00731878" w:rsidRDefault="00647D99" w:rsidP="00731878">
      <w:pPr>
        <w:shd w:val="clear" w:color="auto" w:fill="FFFFFF"/>
        <w:jc w:val="both"/>
        <w:rPr>
          <w:b/>
        </w:rPr>
      </w:pPr>
      <w:proofErr w:type="spellStart"/>
      <w:r w:rsidRPr="00731878">
        <w:t>Cuddy</w:t>
      </w:r>
      <w:proofErr w:type="spellEnd"/>
      <w:r w:rsidRPr="00731878">
        <w:t xml:space="preserve">, Amy (2018): Jelenlét. </w:t>
      </w:r>
      <w:r w:rsidR="00731878">
        <w:t>Budapest</w:t>
      </w:r>
      <w:r w:rsidRPr="00731878">
        <w:t xml:space="preserve">, </w:t>
      </w:r>
      <w:proofErr w:type="spellStart"/>
      <w:r w:rsidRPr="00731878">
        <w:t>Libri</w:t>
      </w:r>
      <w:proofErr w:type="spellEnd"/>
      <w:r w:rsidRPr="00731878">
        <w:t xml:space="preserve"> Kiadó ISBN 9789633106679</w:t>
      </w:r>
    </w:p>
    <w:p w:rsidR="003F7838" w:rsidRPr="00731878" w:rsidRDefault="003F7838" w:rsidP="00731878">
      <w:pPr>
        <w:shd w:val="clear" w:color="auto" w:fill="FFFFFF"/>
        <w:jc w:val="both"/>
      </w:pPr>
      <w:r w:rsidRPr="00731878">
        <w:t xml:space="preserve">Györffy Kinga (2015): Add elő magad. </w:t>
      </w:r>
      <w:r w:rsidR="009C1E09" w:rsidRPr="00731878">
        <w:t xml:space="preserve">A magával ragadó előadás titkai. </w:t>
      </w:r>
      <w:r w:rsidR="00731878">
        <w:t>Budapest</w:t>
      </w:r>
      <w:r w:rsidRPr="00731878">
        <w:t xml:space="preserve">, </w:t>
      </w:r>
      <w:proofErr w:type="spellStart"/>
      <w:r w:rsidRPr="00731878">
        <w:t>Agave</w:t>
      </w:r>
      <w:proofErr w:type="spellEnd"/>
      <w:r w:rsidRPr="00731878">
        <w:t xml:space="preserve"> </w:t>
      </w:r>
      <w:r w:rsidR="009C1E09" w:rsidRPr="00731878">
        <w:t xml:space="preserve">Könyvek </w:t>
      </w:r>
      <w:r w:rsidRPr="00731878">
        <w:t>Kiadó ISBN 978-963-41</w:t>
      </w:r>
      <w:r w:rsidR="00941841" w:rsidRPr="00731878">
        <w:t>-</w:t>
      </w:r>
      <w:r w:rsidRPr="00731878">
        <w:t>9033</w:t>
      </w:r>
      <w:r w:rsidR="00941841" w:rsidRPr="00731878">
        <w:t>-</w:t>
      </w:r>
      <w:r w:rsidRPr="00731878">
        <w:t>2</w:t>
      </w:r>
    </w:p>
    <w:p w:rsidR="00F11A6F" w:rsidRPr="005E1EED" w:rsidRDefault="00F11A6F" w:rsidP="00731878">
      <w:pPr>
        <w:shd w:val="clear" w:color="auto" w:fill="FFFFFF"/>
        <w:autoSpaceDE/>
        <w:autoSpaceDN/>
        <w:adjustRightInd/>
        <w:contextualSpacing/>
        <w:jc w:val="both"/>
      </w:pPr>
      <w:r w:rsidRPr="005E1EED">
        <w:rPr>
          <w:lang w:val="fi-FI"/>
        </w:rPr>
        <w:t>Juhász Erika – Pete Nikoletta (szerk.) (2013): Tréningek a tehetséggondozásban. Civil dimenziók 2.Szeged-Debrecen, Belvedere Meridionale,</w:t>
      </w:r>
      <w:r w:rsidR="003F7838" w:rsidRPr="005E1EED">
        <w:rPr>
          <w:lang w:val="fi-FI"/>
        </w:rPr>
        <w:t xml:space="preserve"> </w:t>
      </w:r>
      <w:r w:rsidRPr="005E1EED">
        <w:t>ISBN 978-615-5372-09</w:t>
      </w:r>
    </w:p>
    <w:p w:rsidR="00F11A6F" w:rsidRPr="005E1EED" w:rsidRDefault="00F11A6F" w:rsidP="00731878">
      <w:pPr>
        <w:shd w:val="clear" w:color="auto" w:fill="FFFFFF"/>
        <w:autoSpaceDE/>
        <w:autoSpaceDN/>
        <w:adjustRightInd/>
        <w:jc w:val="both"/>
      </w:pPr>
      <w:proofErr w:type="spellStart"/>
      <w:r w:rsidRPr="005E1EED">
        <w:t>Komenczi</w:t>
      </w:r>
      <w:proofErr w:type="spellEnd"/>
      <w:r w:rsidRPr="005E1EED">
        <w:t xml:space="preserve"> Bertalan (2009): Elektronikus tanulási környezetek. </w:t>
      </w:r>
      <w:r w:rsidR="00731878">
        <w:t>Budapest</w:t>
      </w:r>
      <w:r w:rsidRPr="005E1EED">
        <w:t>, Gondolat Kiadó, ISBN 978-963-693-157-5</w:t>
      </w:r>
    </w:p>
    <w:p w:rsidR="003F7838" w:rsidRPr="005E1EED" w:rsidRDefault="003F7838" w:rsidP="00731878">
      <w:pPr>
        <w:shd w:val="clear" w:color="auto" w:fill="FFFFFF"/>
        <w:autoSpaceDE/>
        <w:autoSpaceDN/>
        <w:adjustRightInd/>
        <w:jc w:val="both"/>
      </w:pPr>
      <w:r w:rsidRPr="005E1EED">
        <w:t xml:space="preserve">Reynolds, </w:t>
      </w:r>
      <w:proofErr w:type="spellStart"/>
      <w:r w:rsidRPr="005E1EED">
        <w:t>Garry</w:t>
      </w:r>
      <w:proofErr w:type="spellEnd"/>
      <w:r w:rsidRPr="005E1EED">
        <w:t xml:space="preserve"> (2017): </w:t>
      </w:r>
      <w:proofErr w:type="spellStart"/>
      <w:r w:rsidRPr="005E1EED">
        <w:t>PreZENtáció</w:t>
      </w:r>
      <w:proofErr w:type="spellEnd"/>
      <w:r w:rsidRPr="005E1EED">
        <w:t xml:space="preserve">, </w:t>
      </w:r>
      <w:r w:rsidR="00731878">
        <w:t>Budapest,</w:t>
      </w:r>
      <w:r w:rsidRPr="005E1EED">
        <w:t xml:space="preserve"> HVG Kiadó, ISBN 978-963-30-4505-3</w:t>
      </w:r>
    </w:p>
    <w:p w:rsidR="00731878" w:rsidRDefault="00731878" w:rsidP="00240AFD">
      <w:pPr>
        <w:spacing w:before="60" w:after="60"/>
        <w:jc w:val="both"/>
      </w:pPr>
    </w:p>
    <w:p w:rsidR="00731878" w:rsidRPr="005E1EED" w:rsidRDefault="00731878" w:rsidP="00240AFD">
      <w:pPr>
        <w:spacing w:before="60" w:after="60"/>
        <w:jc w:val="both"/>
      </w:pPr>
    </w:p>
    <w:p w:rsidR="00F11A6F" w:rsidRPr="005E1EED" w:rsidRDefault="00F11A6F" w:rsidP="00240AFD">
      <w:pPr>
        <w:spacing w:before="60" w:after="60"/>
        <w:jc w:val="both"/>
      </w:pPr>
      <w:r w:rsidRPr="005E1EED">
        <w:t>Debrecen, 201</w:t>
      </w:r>
      <w:r w:rsidR="007B1FA1" w:rsidRPr="005E1EED">
        <w:t>9</w:t>
      </w:r>
      <w:r w:rsidRPr="005E1EED">
        <w:t>. 02.1</w:t>
      </w:r>
      <w:r w:rsidR="00731878">
        <w:t>1</w:t>
      </w:r>
      <w:r w:rsidRPr="005E1EED">
        <w:t>.</w:t>
      </w:r>
    </w:p>
    <w:p w:rsidR="00F11A6F" w:rsidRPr="005E1EED" w:rsidRDefault="00F11A6F" w:rsidP="0075788C">
      <w:pPr>
        <w:spacing w:before="60" w:after="60"/>
        <w:jc w:val="both"/>
      </w:pP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</w:r>
      <w:r w:rsidRPr="005E1EED">
        <w:tab/>
        <w:t xml:space="preserve">Dr. Márkus Edina </w:t>
      </w:r>
    </w:p>
    <w:p w:rsidR="00F11A6F" w:rsidRPr="005E1EED" w:rsidRDefault="00F11A6F" w:rsidP="0075788C">
      <w:pPr>
        <w:spacing w:before="60" w:after="60"/>
        <w:ind w:left="4248" w:firstLine="708"/>
        <w:jc w:val="both"/>
      </w:pPr>
      <w:r w:rsidRPr="005E1EED">
        <w:t>egyetemi adjunktus</w:t>
      </w:r>
    </w:p>
    <w:p w:rsidR="00F11A6F" w:rsidRPr="005E1EED" w:rsidRDefault="00F11A6F" w:rsidP="007B1FA1">
      <w:pPr>
        <w:spacing w:before="60" w:after="60"/>
        <w:ind w:left="2832" w:right="2102" w:firstLine="708"/>
        <w:jc w:val="center"/>
        <w:rPr>
          <w:i/>
        </w:rPr>
      </w:pPr>
      <w:r w:rsidRPr="005E1EED">
        <w:t xml:space="preserve">Elérhetőség: DE Főépület 139-es iroda, kedd 13.30-14.00, szerda </w:t>
      </w:r>
      <w:r w:rsidR="007B1FA1" w:rsidRPr="005E1EED">
        <w:t>13</w:t>
      </w:r>
      <w:r w:rsidRPr="005E1EED">
        <w:t>.30-1</w:t>
      </w:r>
      <w:r w:rsidR="007B1FA1" w:rsidRPr="005E1EED">
        <w:t>4</w:t>
      </w:r>
      <w:r w:rsidRPr="005E1EED">
        <w:t xml:space="preserve">.00 </w:t>
      </w:r>
      <w:hyperlink r:id="rId8" w:history="1">
        <w:r w:rsidRPr="005E1EED">
          <w:rPr>
            <w:rStyle w:val="Hiperhivatkozs"/>
          </w:rPr>
          <w:t>markusedina@gmail.com</w:t>
        </w:r>
      </w:hyperlink>
    </w:p>
    <w:sectPr w:rsidR="00F11A6F" w:rsidRPr="005E1EED" w:rsidSect="0075788C">
      <w:headerReference w:type="default" r:id="rId9"/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6F" w:rsidRDefault="00F11A6F" w:rsidP="007523CC">
      <w:r>
        <w:separator/>
      </w:r>
    </w:p>
  </w:endnote>
  <w:endnote w:type="continuationSeparator" w:id="0">
    <w:p w:rsidR="00F11A6F" w:rsidRDefault="00F11A6F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6F" w:rsidRDefault="00F11A6F" w:rsidP="007523CC">
      <w:r>
        <w:separator/>
      </w:r>
    </w:p>
  </w:footnote>
  <w:footnote w:type="continuationSeparator" w:id="0">
    <w:p w:rsidR="00F11A6F" w:rsidRDefault="00F11A6F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A6F" w:rsidRDefault="002A2BDE" w:rsidP="007B4708">
    <w:pPr>
      <w:pStyle w:val="Cm"/>
      <w:jc w:val="left"/>
      <w:rPr>
        <w:rFonts w:ascii="Garamond" w:hAnsi="Garamond" w:cs="Bangko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4625340</wp:posOffset>
          </wp:positionH>
          <wp:positionV relativeFrom="paragraph">
            <wp:posOffset>-127000</wp:posOffset>
          </wp:positionV>
          <wp:extent cx="1143000" cy="584835"/>
          <wp:effectExtent l="0" t="0" r="0" b="0"/>
          <wp:wrapNone/>
          <wp:docPr id="1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097"/>
    <w:multiLevelType w:val="hybridMultilevel"/>
    <w:tmpl w:val="5B9C0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4E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2AD"/>
    <w:multiLevelType w:val="hybridMultilevel"/>
    <w:tmpl w:val="B552C3C6"/>
    <w:lvl w:ilvl="0" w:tplc="9CA4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8B283B"/>
    <w:multiLevelType w:val="hybridMultilevel"/>
    <w:tmpl w:val="031EDF2A"/>
    <w:lvl w:ilvl="0" w:tplc="D646C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029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4AE05F7"/>
    <w:multiLevelType w:val="hybridMultilevel"/>
    <w:tmpl w:val="82AA2460"/>
    <w:lvl w:ilvl="0" w:tplc="E64A2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162AA"/>
    <w:multiLevelType w:val="hybridMultilevel"/>
    <w:tmpl w:val="A0DC8A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295A8C"/>
    <w:multiLevelType w:val="hybridMultilevel"/>
    <w:tmpl w:val="AD96C27C"/>
    <w:lvl w:ilvl="0" w:tplc="97C2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6967410"/>
    <w:multiLevelType w:val="hybridMultilevel"/>
    <w:tmpl w:val="92DA6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97CA7"/>
    <w:multiLevelType w:val="multilevel"/>
    <w:tmpl w:val="CF74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3D1679"/>
    <w:multiLevelType w:val="hybridMultilevel"/>
    <w:tmpl w:val="BB1EF28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658F6521"/>
    <w:multiLevelType w:val="hybridMultilevel"/>
    <w:tmpl w:val="00C00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F03DD"/>
    <w:multiLevelType w:val="hybridMultilevel"/>
    <w:tmpl w:val="A67A36BE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B">
      <w:start w:val="1"/>
      <w:numFmt w:val="lowerRoman"/>
      <w:lvlText w:val="%2."/>
      <w:lvlJc w:val="righ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680E205E"/>
    <w:multiLevelType w:val="hybridMultilevel"/>
    <w:tmpl w:val="DB5A9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0F65"/>
    <w:multiLevelType w:val="hybridMultilevel"/>
    <w:tmpl w:val="B082D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3F5859"/>
    <w:multiLevelType w:val="hybridMultilevel"/>
    <w:tmpl w:val="178C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4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2"/>
  </w:num>
  <w:num w:numId="11">
    <w:abstractNumId w:val="3"/>
  </w:num>
  <w:num w:numId="12">
    <w:abstractNumId w:val="2"/>
  </w:num>
  <w:num w:numId="13">
    <w:abstractNumId w:val="22"/>
  </w:num>
  <w:num w:numId="14">
    <w:abstractNumId w:val="16"/>
  </w:num>
  <w:num w:numId="15">
    <w:abstractNumId w:val="6"/>
  </w:num>
  <w:num w:numId="16">
    <w:abstractNumId w:val="13"/>
  </w:num>
  <w:num w:numId="17">
    <w:abstractNumId w:val="18"/>
  </w:num>
  <w:num w:numId="18">
    <w:abstractNumId w:val="19"/>
  </w:num>
  <w:num w:numId="19">
    <w:abstractNumId w:val="1"/>
  </w:num>
  <w:num w:numId="20">
    <w:abstractNumId w:val="4"/>
  </w:num>
  <w:num w:numId="21">
    <w:abstractNumId w:val="17"/>
  </w:num>
  <w:num w:numId="22">
    <w:abstractNumId w:val="0"/>
  </w:num>
  <w:num w:numId="23">
    <w:abstractNumId w:val="2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C"/>
    <w:rsid w:val="00000BD5"/>
    <w:rsid w:val="000652AC"/>
    <w:rsid w:val="00071F0B"/>
    <w:rsid w:val="00075D87"/>
    <w:rsid w:val="0008140F"/>
    <w:rsid w:val="000842DA"/>
    <w:rsid w:val="000B5C16"/>
    <w:rsid w:val="000B7D14"/>
    <w:rsid w:val="000C4C65"/>
    <w:rsid w:val="000C5128"/>
    <w:rsid w:val="000C5377"/>
    <w:rsid w:val="000E5DA3"/>
    <w:rsid w:val="001033C5"/>
    <w:rsid w:val="00127A5B"/>
    <w:rsid w:val="00133ED0"/>
    <w:rsid w:val="0019439D"/>
    <w:rsid w:val="001A5C4E"/>
    <w:rsid w:val="001C1093"/>
    <w:rsid w:val="00220BBB"/>
    <w:rsid w:val="00221ABA"/>
    <w:rsid w:val="00225991"/>
    <w:rsid w:val="00240AFD"/>
    <w:rsid w:val="002754BB"/>
    <w:rsid w:val="002A2BDE"/>
    <w:rsid w:val="002D6A57"/>
    <w:rsid w:val="002D74F7"/>
    <w:rsid w:val="002E2539"/>
    <w:rsid w:val="00323777"/>
    <w:rsid w:val="003561F7"/>
    <w:rsid w:val="0037065E"/>
    <w:rsid w:val="003B3A27"/>
    <w:rsid w:val="003D4549"/>
    <w:rsid w:val="003E4158"/>
    <w:rsid w:val="003F16D2"/>
    <w:rsid w:val="003F4164"/>
    <w:rsid w:val="003F7838"/>
    <w:rsid w:val="004142ED"/>
    <w:rsid w:val="00473F6E"/>
    <w:rsid w:val="00492B70"/>
    <w:rsid w:val="004B20FC"/>
    <w:rsid w:val="004C0E18"/>
    <w:rsid w:val="004F7BCC"/>
    <w:rsid w:val="00506990"/>
    <w:rsid w:val="00510898"/>
    <w:rsid w:val="00520126"/>
    <w:rsid w:val="0053136D"/>
    <w:rsid w:val="005341EE"/>
    <w:rsid w:val="00560350"/>
    <w:rsid w:val="00576140"/>
    <w:rsid w:val="00576F4B"/>
    <w:rsid w:val="00581042"/>
    <w:rsid w:val="005A590F"/>
    <w:rsid w:val="005A624B"/>
    <w:rsid w:val="005E1EED"/>
    <w:rsid w:val="00605A12"/>
    <w:rsid w:val="00645856"/>
    <w:rsid w:val="00647D99"/>
    <w:rsid w:val="00665A8A"/>
    <w:rsid w:val="00695AA4"/>
    <w:rsid w:val="006B581B"/>
    <w:rsid w:val="006B6810"/>
    <w:rsid w:val="007005C7"/>
    <w:rsid w:val="00715D18"/>
    <w:rsid w:val="00731878"/>
    <w:rsid w:val="00743147"/>
    <w:rsid w:val="007523CC"/>
    <w:rsid w:val="0075520F"/>
    <w:rsid w:val="0075788C"/>
    <w:rsid w:val="00774DC7"/>
    <w:rsid w:val="007A00D8"/>
    <w:rsid w:val="007B1FA1"/>
    <w:rsid w:val="007B4708"/>
    <w:rsid w:val="007D6DF2"/>
    <w:rsid w:val="007D6E1D"/>
    <w:rsid w:val="007F4159"/>
    <w:rsid w:val="00802900"/>
    <w:rsid w:val="00807988"/>
    <w:rsid w:val="00821A9D"/>
    <w:rsid w:val="00835A5E"/>
    <w:rsid w:val="00893E5E"/>
    <w:rsid w:val="008A1D41"/>
    <w:rsid w:val="009356FA"/>
    <w:rsid w:val="00941841"/>
    <w:rsid w:val="0095355B"/>
    <w:rsid w:val="009551CF"/>
    <w:rsid w:val="00977EA2"/>
    <w:rsid w:val="009808D4"/>
    <w:rsid w:val="009850C9"/>
    <w:rsid w:val="009B23F5"/>
    <w:rsid w:val="009C1E09"/>
    <w:rsid w:val="009C5922"/>
    <w:rsid w:val="009C6DC8"/>
    <w:rsid w:val="009D02ED"/>
    <w:rsid w:val="009E7DB1"/>
    <w:rsid w:val="00A15E3D"/>
    <w:rsid w:val="00A44BE1"/>
    <w:rsid w:val="00A56E27"/>
    <w:rsid w:val="00A66C85"/>
    <w:rsid w:val="00A67D4A"/>
    <w:rsid w:val="00A82757"/>
    <w:rsid w:val="00A85173"/>
    <w:rsid w:val="00A910EC"/>
    <w:rsid w:val="00A9645A"/>
    <w:rsid w:val="00AA7BDA"/>
    <w:rsid w:val="00AB6059"/>
    <w:rsid w:val="00AF2DE0"/>
    <w:rsid w:val="00AF4309"/>
    <w:rsid w:val="00B17D2B"/>
    <w:rsid w:val="00B25C01"/>
    <w:rsid w:val="00B27B5A"/>
    <w:rsid w:val="00B44065"/>
    <w:rsid w:val="00B45F4C"/>
    <w:rsid w:val="00B466FC"/>
    <w:rsid w:val="00B66886"/>
    <w:rsid w:val="00B8330F"/>
    <w:rsid w:val="00B844DB"/>
    <w:rsid w:val="00B861D3"/>
    <w:rsid w:val="00B86D46"/>
    <w:rsid w:val="00BA2B4E"/>
    <w:rsid w:val="00BA6299"/>
    <w:rsid w:val="00BE6129"/>
    <w:rsid w:val="00BF5207"/>
    <w:rsid w:val="00C00EE6"/>
    <w:rsid w:val="00C05ED4"/>
    <w:rsid w:val="00C2237B"/>
    <w:rsid w:val="00C30C27"/>
    <w:rsid w:val="00C52BA8"/>
    <w:rsid w:val="00C5751D"/>
    <w:rsid w:val="00CB0A34"/>
    <w:rsid w:val="00CB39EE"/>
    <w:rsid w:val="00CC62A3"/>
    <w:rsid w:val="00CD585A"/>
    <w:rsid w:val="00CE2467"/>
    <w:rsid w:val="00D11E50"/>
    <w:rsid w:val="00D137C3"/>
    <w:rsid w:val="00D14171"/>
    <w:rsid w:val="00D52A3B"/>
    <w:rsid w:val="00D74507"/>
    <w:rsid w:val="00DB6059"/>
    <w:rsid w:val="00DC3280"/>
    <w:rsid w:val="00DC362E"/>
    <w:rsid w:val="00DE7C6F"/>
    <w:rsid w:val="00DF4508"/>
    <w:rsid w:val="00E60C0C"/>
    <w:rsid w:val="00E6699F"/>
    <w:rsid w:val="00E909ED"/>
    <w:rsid w:val="00E91968"/>
    <w:rsid w:val="00EA1EC5"/>
    <w:rsid w:val="00EA36AC"/>
    <w:rsid w:val="00EA3A0F"/>
    <w:rsid w:val="00EA6366"/>
    <w:rsid w:val="00EB2835"/>
    <w:rsid w:val="00ED790E"/>
    <w:rsid w:val="00EF2504"/>
    <w:rsid w:val="00F11A6F"/>
    <w:rsid w:val="00F179E4"/>
    <w:rsid w:val="00F35358"/>
    <w:rsid w:val="00F93EB4"/>
    <w:rsid w:val="00F978C5"/>
    <w:rsid w:val="00FA06C5"/>
    <w:rsid w:val="00FA7714"/>
    <w:rsid w:val="00FC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EA142EE"/>
  <w15:docId w15:val="{FC8AD5BB-E188-4F6B-9136-652A3F8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44065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44065"/>
    <w:rPr>
      <w:rFonts w:ascii="Times New Roman" w:hAnsi="Times New Roman" w:cs="Times New Roman"/>
      <w:b/>
      <w:i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uiPriority w:val="99"/>
    <w:locked/>
    <w:rsid w:val="007523CC"/>
    <w:rPr>
      <w:rFonts w:ascii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locked/>
    <w:rsid w:val="007523CC"/>
    <w:rPr>
      <w:rFonts w:cs="Times New Roman"/>
    </w:rPr>
  </w:style>
  <w:style w:type="paragraph" w:styleId="llb">
    <w:name w:val="footer"/>
    <w:basedOn w:val="Norml"/>
    <w:link w:val="llbChar"/>
    <w:uiPriority w:val="99"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523C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A636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99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4158"/>
    <w:rPr>
      <w:rFonts w:ascii="Times New Roman" w:hAnsi="Times New Roman" w:cs="Times New Roman"/>
      <w:sz w:val="20"/>
      <w:szCs w:val="20"/>
      <w:lang w:val="pl-PL" w:eastAsia="pl-PL"/>
    </w:rPr>
  </w:style>
  <w:style w:type="paragraph" w:styleId="NormlWeb">
    <w:name w:val="Normal (Web)"/>
    <w:basedOn w:val="Norml"/>
    <w:uiPriority w:val="99"/>
    <w:rsid w:val="00B44065"/>
    <w:pPr>
      <w:autoSpaceDE/>
      <w:autoSpaceDN/>
      <w:adjustRightInd/>
      <w:spacing w:before="100" w:beforeAutospacing="1" w:after="100" w:afterAutospacing="1"/>
    </w:pPr>
  </w:style>
  <w:style w:type="character" w:customStyle="1" w:styleId="tablerowdata">
    <w:name w:val="tablerowdata"/>
    <w:uiPriority w:val="99"/>
    <w:rsid w:val="00B44065"/>
  </w:style>
  <w:style w:type="character" w:customStyle="1" w:styleId="object">
    <w:name w:val="object"/>
    <w:basedOn w:val="Bekezdsalapbettpusa"/>
    <w:uiPriority w:val="99"/>
    <w:rsid w:val="00B44065"/>
    <w:rPr>
      <w:rFonts w:cs="Times New Roman"/>
    </w:rPr>
  </w:style>
  <w:style w:type="table" w:styleId="Rcsostblzat">
    <w:name w:val="Table Grid"/>
    <w:basedOn w:val="Normltblzat"/>
    <w:uiPriority w:val="99"/>
    <w:rsid w:val="00B440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hivatkozs">
    <w:name w:val="Hyperlink"/>
    <w:basedOn w:val="Bekezdsalapbettpusa"/>
    <w:uiPriority w:val="99"/>
    <w:rsid w:val="0075520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ed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ve.hu/index.php?option=com_content&amp;view=article&amp;id=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542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Nullpont2</cp:lastModifiedBy>
  <cp:revision>7</cp:revision>
  <cp:lastPrinted>2017-10-18T08:57:00Z</cp:lastPrinted>
  <dcterms:created xsi:type="dcterms:W3CDTF">2019-02-09T14:43:00Z</dcterms:created>
  <dcterms:modified xsi:type="dcterms:W3CDTF">2019-02-09T20:42:00Z</dcterms:modified>
</cp:coreProperties>
</file>