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41" w:rsidRDefault="008A1D41" w:rsidP="00C5751D">
      <w:pPr>
        <w:tabs>
          <w:tab w:val="left" w:pos="5670"/>
        </w:tabs>
        <w:rPr>
          <w:b/>
        </w:rPr>
      </w:pPr>
    </w:p>
    <w:p w:rsidR="00B74981" w:rsidRPr="00F42AF4" w:rsidRDefault="00B74981" w:rsidP="00B74981">
      <w:pPr>
        <w:spacing w:line="360" w:lineRule="auto"/>
      </w:pPr>
      <w:r w:rsidRPr="00891E1C">
        <w:rPr>
          <w:b/>
        </w:rPr>
        <w:t>1</w:t>
      </w:r>
      <w:r w:rsidRPr="00F42AF4">
        <w:rPr>
          <w:b/>
        </w:rPr>
        <w:t xml:space="preserve">.  A tanegység neve, kódja: </w:t>
      </w:r>
    </w:p>
    <w:p w:rsidR="00B74981" w:rsidRPr="00177E65" w:rsidRDefault="00B74981" w:rsidP="00B74981">
      <w:pPr>
        <w:spacing w:line="360" w:lineRule="auto"/>
        <w:jc w:val="center"/>
        <w:rPr>
          <w:sz w:val="16"/>
        </w:rPr>
      </w:pPr>
      <w:r>
        <w:rPr>
          <w:b/>
          <w:smallCaps/>
          <w:sz w:val="32"/>
          <w:szCs w:val="32"/>
        </w:rPr>
        <w:t xml:space="preserve">A tanári pálya komplex </w:t>
      </w:r>
      <w:proofErr w:type="gramStart"/>
      <w:r>
        <w:rPr>
          <w:b/>
          <w:smallCaps/>
          <w:sz w:val="32"/>
          <w:szCs w:val="32"/>
        </w:rPr>
        <w:t xml:space="preserve">kérdései          </w:t>
      </w:r>
      <w:r w:rsidRPr="004E5F8B">
        <w:t>BTTK550OMA</w:t>
      </w:r>
      <w:proofErr w:type="gramEnd"/>
      <w:r>
        <w:t>_Z</w:t>
      </w:r>
    </w:p>
    <w:p w:rsidR="00B74981" w:rsidRPr="00AF4F23" w:rsidRDefault="00B74981" w:rsidP="00B74981">
      <w:pPr>
        <w:spacing w:line="360" w:lineRule="auto"/>
      </w:pPr>
      <w:r w:rsidRPr="00F42AF4">
        <w:rPr>
          <w:b/>
        </w:rPr>
        <w:t>2. </w:t>
      </w:r>
      <w:proofErr w:type="spellStart"/>
      <w:r w:rsidRPr="00F42AF4">
        <w:rPr>
          <w:b/>
        </w:rPr>
        <w:t>Tanegységzárás</w:t>
      </w:r>
      <w:proofErr w:type="spellEnd"/>
      <w:r w:rsidRPr="00F42AF4">
        <w:rPr>
          <w:b/>
        </w:rPr>
        <w:t>: </w:t>
      </w:r>
      <w:r w:rsidRPr="00F42AF4">
        <w:rPr>
          <w:b/>
        </w:rPr>
        <w:tab/>
      </w:r>
      <w:r>
        <w:rPr>
          <w:b/>
        </w:rPr>
        <w:tab/>
      </w:r>
      <w:r w:rsidRPr="00455652">
        <w:t>kollokvium</w:t>
      </w:r>
    </w:p>
    <w:p w:rsidR="00B74981" w:rsidRPr="00F42AF4" w:rsidRDefault="00B74981" w:rsidP="00B74981">
      <w:pPr>
        <w:spacing w:line="360" w:lineRule="auto"/>
      </w:pPr>
      <w:r w:rsidRPr="00F42AF4">
        <w:rPr>
          <w:b/>
        </w:rPr>
        <w:t>3. A tanegység adatai:</w:t>
      </w:r>
      <w:r w:rsidRPr="00F42AF4">
        <w:rPr>
          <w:b/>
        </w:rPr>
        <w:tab/>
      </w:r>
      <w:r>
        <w:t>I</w:t>
      </w:r>
      <w:r w:rsidRPr="00831DDA">
        <w:t>.</w:t>
      </w:r>
      <w:r>
        <w:t xml:space="preserve"> </w:t>
      </w:r>
      <w:r w:rsidRPr="00F42AF4">
        <w:t xml:space="preserve">félév; </w:t>
      </w:r>
      <w:r>
        <w:t>30 óra/ félév,</w:t>
      </w:r>
      <w:r w:rsidRPr="00F42AF4">
        <w:t xml:space="preserve"> </w:t>
      </w:r>
      <w:r>
        <w:t xml:space="preserve">2 </w:t>
      </w:r>
      <w:r w:rsidRPr="00F42AF4">
        <w:t>kredit</w:t>
      </w:r>
    </w:p>
    <w:p w:rsidR="00B74981" w:rsidRPr="00F42AF4" w:rsidRDefault="00B74981" w:rsidP="00B74981">
      <w:pPr>
        <w:spacing w:line="360" w:lineRule="auto"/>
        <w:rPr>
          <w:b/>
        </w:rPr>
      </w:pPr>
      <w:r w:rsidRPr="00F42AF4">
        <w:rPr>
          <w:b/>
        </w:rPr>
        <w:t>4. A tanegység jellege: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B74981" w:rsidRPr="00F42AF4" w:rsidTr="00945164">
        <w:tc>
          <w:tcPr>
            <w:tcW w:w="4606" w:type="dxa"/>
          </w:tcPr>
          <w:p w:rsidR="00B74981" w:rsidRPr="00F42AF4" w:rsidRDefault="00B74981" w:rsidP="00945164">
            <w:pPr>
              <w:spacing w:line="360" w:lineRule="auto"/>
              <w:jc w:val="center"/>
              <w:rPr>
                <w:smallCaps/>
              </w:rPr>
            </w:pPr>
            <w:r w:rsidRPr="00F42AF4">
              <w:rPr>
                <w:smallCaps/>
              </w:rPr>
              <w:t>A képzés neve:</w:t>
            </w:r>
          </w:p>
        </w:tc>
        <w:tc>
          <w:tcPr>
            <w:tcW w:w="4536" w:type="dxa"/>
          </w:tcPr>
          <w:p w:rsidR="00B74981" w:rsidRPr="00F42AF4" w:rsidRDefault="00B74981" w:rsidP="00945164">
            <w:pPr>
              <w:spacing w:line="360" w:lineRule="auto"/>
              <w:jc w:val="center"/>
              <w:rPr>
                <w:smallCaps/>
              </w:rPr>
            </w:pPr>
            <w:r w:rsidRPr="00F42AF4">
              <w:rPr>
                <w:smallCaps/>
              </w:rPr>
              <w:t>A tanegység jellege:</w:t>
            </w:r>
          </w:p>
        </w:tc>
      </w:tr>
      <w:tr w:rsidR="00B74981" w:rsidRPr="00F42AF4" w:rsidTr="00945164">
        <w:tc>
          <w:tcPr>
            <w:tcW w:w="4606" w:type="dxa"/>
          </w:tcPr>
          <w:p w:rsidR="00B74981" w:rsidRPr="00F42AF4" w:rsidRDefault="00B74981" w:rsidP="00945164">
            <w:pPr>
              <w:spacing w:after="240"/>
              <w:jc w:val="center"/>
              <w:rPr>
                <w:i/>
              </w:rPr>
            </w:pPr>
            <w:r>
              <w:rPr>
                <w:i/>
              </w:rPr>
              <w:t>Tanár M, Osztatlan tanárképzés</w:t>
            </w:r>
          </w:p>
        </w:tc>
        <w:tc>
          <w:tcPr>
            <w:tcW w:w="4536" w:type="dxa"/>
          </w:tcPr>
          <w:p w:rsidR="00B74981" w:rsidRPr="00F42AF4" w:rsidRDefault="00B74981" w:rsidP="00945164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Kötelezően választható</w:t>
            </w:r>
          </w:p>
        </w:tc>
      </w:tr>
    </w:tbl>
    <w:p w:rsidR="00B74981" w:rsidRPr="00AF4F23" w:rsidRDefault="00B74981" w:rsidP="00B74981">
      <w:pPr>
        <w:spacing w:line="360" w:lineRule="auto"/>
      </w:pPr>
      <w:r w:rsidRPr="00F42AF4">
        <w:rPr>
          <w:b/>
        </w:rPr>
        <w:t>5. A tanegység felvételének feltételei:</w:t>
      </w:r>
      <w:r w:rsidRPr="00F42AF4">
        <w:rPr>
          <w:b/>
        </w:rPr>
        <w:tab/>
      </w:r>
      <w:r>
        <w:rPr>
          <w:b/>
        </w:rPr>
        <w:t>-</w:t>
      </w:r>
      <w:r w:rsidRPr="00F42AF4">
        <w:rPr>
          <w:b/>
        </w:rPr>
        <w:tab/>
      </w:r>
    </w:p>
    <w:p w:rsidR="00B74981" w:rsidRPr="00F42AF4" w:rsidRDefault="00B74981" w:rsidP="00B74981">
      <w:pPr>
        <w:spacing w:line="360" w:lineRule="auto"/>
        <w:rPr>
          <w:b/>
        </w:rPr>
      </w:pPr>
      <w:r w:rsidRPr="00F42AF4">
        <w:rPr>
          <w:b/>
        </w:rPr>
        <w:t>6. A tanegység oktatói: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2"/>
      </w:tblGrid>
      <w:tr w:rsidR="00B74981" w:rsidRPr="00AB48E7" w:rsidTr="00945164">
        <w:tc>
          <w:tcPr>
            <w:tcW w:w="3898" w:type="dxa"/>
            <w:tcBorders>
              <w:bottom w:val="nil"/>
              <w:right w:val="nil"/>
            </w:tcBorders>
          </w:tcPr>
          <w:p w:rsidR="00B74981" w:rsidRPr="00AB48E7" w:rsidRDefault="00B74981" w:rsidP="00945164">
            <w:pPr>
              <w:spacing w:before="60" w:after="60"/>
              <w:rPr>
                <w:smallCaps/>
              </w:rPr>
            </w:pPr>
            <w:r w:rsidRPr="00AB48E7">
              <w:rPr>
                <w:smallCaps/>
                <w:szCs w:val="22"/>
              </w:rPr>
              <w:t>Név (tud. fokozat):</w:t>
            </w:r>
          </w:p>
          <w:p w:rsidR="00B74981" w:rsidRPr="00AB48E7" w:rsidRDefault="00B74981" w:rsidP="00945164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  <w:szCs w:val="22"/>
              </w:rPr>
              <w:t>Dr. Szűcs Tímea</w:t>
            </w:r>
          </w:p>
        </w:tc>
        <w:tc>
          <w:tcPr>
            <w:tcW w:w="5312" w:type="dxa"/>
            <w:tcBorders>
              <w:left w:val="nil"/>
              <w:bottom w:val="nil"/>
            </w:tcBorders>
          </w:tcPr>
          <w:p w:rsidR="00B74981" w:rsidRPr="00AB48E7" w:rsidRDefault="00B74981" w:rsidP="00945164">
            <w:pPr>
              <w:spacing w:before="60" w:after="60"/>
              <w:rPr>
                <w:smallCaps/>
              </w:rPr>
            </w:pPr>
            <w:r w:rsidRPr="00AB48E7">
              <w:rPr>
                <w:smallCaps/>
                <w:szCs w:val="22"/>
              </w:rPr>
              <w:t>Munkahely, beosztás:</w:t>
            </w:r>
          </w:p>
          <w:p w:rsidR="00B74981" w:rsidRPr="00AB48E7" w:rsidRDefault="00B74981" w:rsidP="00945164">
            <w:pPr>
              <w:pStyle w:val="Cmsor1"/>
              <w:rPr>
                <w:sz w:val="20"/>
                <w:szCs w:val="22"/>
              </w:rPr>
            </w:pPr>
            <w:r w:rsidRPr="00AB48E7">
              <w:rPr>
                <w:sz w:val="20"/>
                <w:szCs w:val="22"/>
              </w:rPr>
              <w:t>DE BTK Nevelés</w:t>
            </w:r>
            <w:r>
              <w:rPr>
                <w:sz w:val="20"/>
                <w:szCs w:val="22"/>
              </w:rPr>
              <w:t>- és Művelődéstudományi Intézet</w:t>
            </w:r>
            <w:r w:rsidRPr="00AB48E7">
              <w:rPr>
                <w:sz w:val="20"/>
                <w:szCs w:val="22"/>
              </w:rPr>
              <w:t xml:space="preserve">, </w:t>
            </w:r>
            <w:proofErr w:type="spellStart"/>
            <w:r>
              <w:rPr>
                <w:sz w:val="20"/>
                <w:szCs w:val="22"/>
              </w:rPr>
              <w:t>NeveléstudományiTanszék</w:t>
            </w:r>
            <w:proofErr w:type="spellEnd"/>
          </w:p>
        </w:tc>
      </w:tr>
      <w:tr w:rsidR="00B74981" w:rsidRPr="00AB48E7" w:rsidTr="00945164">
        <w:trPr>
          <w:cantSplit/>
        </w:trPr>
        <w:tc>
          <w:tcPr>
            <w:tcW w:w="9210" w:type="dxa"/>
            <w:gridSpan w:val="2"/>
            <w:tcBorders>
              <w:top w:val="nil"/>
              <w:bottom w:val="single" w:sz="4" w:space="0" w:color="auto"/>
            </w:tcBorders>
          </w:tcPr>
          <w:p w:rsidR="00B74981" w:rsidRPr="00AB48E7" w:rsidRDefault="00B74981" w:rsidP="00945164">
            <w:pPr>
              <w:spacing w:before="60" w:after="60"/>
              <w:rPr>
                <w:smallCaps/>
              </w:rPr>
            </w:pPr>
            <w:r>
              <w:rPr>
                <w:smallCaps/>
                <w:szCs w:val="22"/>
              </w:rPr>
              <w:t>Elérhetőség (cím,</w:t>
            </w:r>
            <w:r w:rsidRPr="00AB48E7">
              <w:rPr>
                <w:smallCaps/>
                <w:szCs w:val="22"/>
              </w:rPr>
              <w:t xml:space="preserve"> E-mail):</w:t>
            </w:r>
          </w:p>
          <w:p w:rsidR="00B74981" w:rsidRDefault="00B74981" w:rsidP="00945164">
            <w:pPr>
              <w:pStyle w:val="Cmsor1"/>
              <w:rPr>
                <w:sz w:val="20"/>
                <w:szCs w:val="22"/>
              </w:rPr>
            </w:pPr>
            <w:r w:rsidRPr="00AB48E7">
              <w:rPr>
                <w:sz w:val="20"/>
                <w:szCs w:val="22"/>
              </w:rPr>
              <w:t>4032 Debrecen, Egyetem tér 1.  20</w:t>
            </w:r>
            <w:r>
              <w:rPr>
                <w:sz w:val="20"/>
                <w:szCs w:val="22"/>
              </w:rPr>
              <w:t>4</w:t>
            </w:r>
            <w:r w:rsidRPr="00AB48E7">
              <w:rPr>
                <w:sz w:val="20"/>
                <w:szCs w:val="22"/>
              </w:rPr>
              <w:t xml:space="preserve">.sz.  </w:t>
            </w:r>
            <w:r>
              <w:rPr>
                <w:sz w:val="20"/>
                <w:szCs w:val="22"/>
              </w:rPr>
              <w:t xml:space="preserve">                           </w:t>
            </w:r>
            <w:r w:rsidRPr="00AB48E7">
              <w:rPr>
                <w:sz w:val="20"/>
                <w:szCs w:val="22"/>
              </w:rPr>
              <w:t xml:space="preserve">E-mail: </w:t>
            </w:r>
            <w:hyperlink r:id="rId8" w:history="1">
              <w:r w:rsidRPr="008513E8">
                <w:rPr>
                  <w:rStyle w:val="Hiperhivatkozs"/>
                  <w:sz w:val="20"/>
                </w:rPr>
                <w:t>szucs.timea</w:t>
              </w:r>
              <w:r w:rsidRPr="00535E96">
                <w:rPr>
                  <w:rStyle w:val="Hiperhivatkozs"/>
                  <w:sz w:val="20"/>
                  <w:szCs w:val="22"/>
                </w:rPr>
                <w:t>@arts.unideb.hu</w:t>
              </w:r>
            </w:hyperlink>
          </w:p>
          <w:p w:rsidR="00B74981" w:rsidRPr="00AB48E7" w:rsidRDefault="00B74981" w:rsidP="00945164">
            <w:pPr>
              <w:pStyle w:val="Cmsor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                                                                                   </w:t>
            </w:r>
            <w:r w:rsidRPr="00AB48E7">
              <w:rPr>
                <w:sz w:val="20"/>
                <w:szCs w:val="22"/>
              </w:rPr>
              <w:t xml:space="preserve"> </w:t>
            </w:r>
          </w:p>
        </w:tc>
      </w:tr>
    </w:tbl>
    <w:p w:rsidR="00B74981" w:rsidRPr="00F42AF4" w:rsidRDefault="00B74981" w:rsidP="00B74981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t xml:space="preserve">7. A tanegység tartalmi </w:t>
      </w:r>
      <w:r w:rsidRPr="00F42AF4">
        <w:rPr>
          <w:b/>
        </w:rPr>
        <w:t>leírása:</w:t>
      </w:r>
    </w:p>
    <w:p w:rsidR="00B74981" w:rsidRPr="00F42AF4" w:rsidRDefault="00B74981" w:rsidP="00B74981">
      <w:pPr>
        <w:spacing w:line="360" w:lineRule="auto"/>
        <w:rPr>
          <w:b/>
          <w:i/>
        </w:rPr>
      </w:pPr>
      <w:r>
        <w:rPr>
          <w:b/>
          <w:i/>
        </w:rPr>
        <w:tab/>
        <w:t>A tanegy</w:t>
      </w:r>
      <w:r w:rsidRPr="00F42AF4">
        <w:rPr>
          <w:b/>
          <w:i/>
        </w:rPr>
        <w:t>ség tanításának céljai:</w:t>
      </w:r>
    </w:p>
    <w:p w:rsidR="00B74981" w:rsidRPr="00455652" w:rsidRDefault="00B74981" w:rsidP="00B74981">
      <w:pPr>
        <w:ind w:firstLine="567"/>
        <w:jc w:val="both"/>
      </w:pPr>
      <w:r>
        <w:t xml:space="preserve"> </w:t>
      </w:r>
      <w:r w:rsidRPr="00455652">
        <w:t xml:space="preserve">A kurzus célja </w:t>
      </w:r>
      <w:r>
        <w:t>a tanári pálya sajátos kérdéseinek, a tanítási-tanulási folyamatokon túli dimenzióinak a mélyebb megismerése és az iskolai kontextusba ágyazása. A kurzus a cselekvő gondolkodást és problémaérzékenységet, valamint a különböző aspektusok egyidejű figyelembevételének képességét fejleszti.</w:t>
      </w:r>
    </w:p>
    <w:p w:rsidR="00B74981" w:rsidRPr="00F42AF4" w:rsidRDefault="00B74981" w:rsidP="00B74981">
      <w:pPr>
        <w:ind w:firstLine="567"/>
        <w:jc w:val="both"/>
        <w:rPr>
          <w:b/>
          <w:i/>
        </w:rPr>
      </w:pPr>
    </w:p>
    <w:p w:rsidR="00B74981" w:rsidRPr="001E7004" w:rsidRDefault="00B74981" w:rsidP="00B74981">
      <w:pPr>
        <w:spacing w:line="360" w:lineRule="auto"/>
        <w:ind w:firstLine="708"/>
        <w:rPr>
          <w:b/>
          <w:i/>
        </w:rPr>
      </w:pPr>
      <w:r>
        <w:rPr>
          <w:b/>
          <w:i/>
        </w:rPr>
        <w:t>A tanegység tematik</w:t>
      </w:r>
      <w:r w:rsidRPr="00F42AF4">
        <w:rPr>
          <w:b/>
          <w:i/>
        </w:rPr>
        <w:t>a</w:t>
      </w:r>
      <w:r>
        <w:rPr>
          <w:b/>
          <w:i/>
        </w:rPr>
        <w:t>i csomópontjai</w:t>
      </w:r>
      <w:r w:rsidRPr="00F42AF4">
        <w:rPr>
          <w:b/>
          <w:i/>
        </w:rPr>
        <w:t>:</w:t>
      </w:r>
    </w:p>
    <w:p w:rsidR="00B74981" w:rsidRPr="008513E8" w:rsidRDefault="00B74981" w:rsidP="00B74981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3E8">
        <w:rPr>
          <w:rFonts w:ascii="Times New Roman" w:hAnsi="Times New Roman" w:cs="Times New Roman"/>
          <w:bCs/>
          <w:sz w:val="24"/>
          <w:szCs w:val="24"/>
        </w:rPr>
        <w:t>A tanári pálya általános kontextusa, hallgatói problémafelvetés, a kurzus tematikai egységeinek kialakítása</w:t>
      </w:r>
    </w:p>
    <w:p w:rsidR="00B74981" w:rsidRPr="008513E8" w:rsidRDefault="00B74981" w:rsidP="00B74981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513E8">
        <w:rPr>
          <w:rFonts w:ascii="Times New Roman" w:hAnsi="Times New Roman" w:cs="Times New Roman"/>
          <w:sz w:val="24"/>
          <w:szCs w:val="24"/>
        </w:rPr>
        <w:t xml:space="preserve"> Kinek az órája? A tanítási gyakorlat belső kontextusai, a mentorral való együttműködés a tervezés során. </w:t>
      </w:r>
    </w:p>
    <w:p w:rsidR="00B74981" w:rsidRDefault="00B74981" w:rsidP="00B74981">
      <w:pPr>
        <w:numPr>
          <w:ilvl w:val="0"/>
          <w:numId w:val="8"/>
        </w:numPr>
        <w:autoSpaceDE/>
        <w:autoSpaceDN/>
        <w:adjustRightInd/>
        <w:contextualSpacing/>
        <w:rPr>
          <w:szCs w:val="22"/>
        </w:rPr>
      </w:pPr>
      <w:r w:rsidRPr="0024326C">
        <w:rPr>
          <w:szCs w:val="22"/>
        </w:rPr>
        <w:t xml:space="preserve">A tantestület működése, a beilleszkedés kérdései. </w:t>
      </w:r>
    </w:p>
    <w:p w:rsidR="00B74981" w:rsidRDefault="00B74981" w:rsidP="00B74981">
      <w:pPr>
        <w:numPr>
          <w:ilvl w:val="0"/>
          <w:numId w:val="8"/>
        </w:numPr>
        <w:autoSpaceDE/>
        <w:autoSpaceDN/>
        <w:adjustRightInd/>
        <w:contextualSpacing/>
        <w:rPr>
          <w:szCs w:val="22"/>
        </w:rPr>
      </w:pPr>
      <w:r>
        <w:rPr>
          <w:szCs w:val="22"/>
        </w:rPr>
        <w:t xml:space="preserve">1-5-ig. Minősítés, feleltetés, osztályozás. </w:t>
      </w:r>
    </w:p>
    <w:p w:rsidR="00B74981" w:rsidRDefault="00B74981" w:rsidP="00B74981">
      <w:pPr>
        <w:numPr>
          <w:ilvl w:val="0"/>
          <w:numId w:val="8"/>
        </w:numPr>
        <w:autoSpaceDE/>
        <w:autoSpaceDN/>
        <w:adjustRightInd/>
        <w:contextualSpacing/>
        <w:rPr>
          <w:szCs w:val="22"/>
        </w:rPr>
      </w:pPr>
      <w:r>
        <w:rPr>
          <w:szCs w:val="22"/>
        </w:rPr>
        <w:t xml:space="preserve">Vonalban. </w:t>
      </w:r>
      <w:proofErr w:type="spellStart"/>
      <w:r>
        <w:rPr>
          <w:szCs w:val="22"/>
        </w:rPr>
        <w:t>On-off</w:t>
      </w:r>
      <w:proofErr w:type="spellEnd"/>
      <w:r>
        <w:rPr>
          <w:szCs w:val="22"/>
        </w:rPr>
        <w:t>? A modern kommunikációs felületek iskolai felhasználása. Kommunikáció a gyerekekkel, kommunikáció szakmai csoportokban.</w:t>
      </w:r>
    </w:p>
    <w:p w:rsidR="00B74981" w:rsidRDefault="00B74981" w:rsidP="00B74981">
      <w:pPr>
        <w:numPr>
          <w:ilvl w:val="0"/>
          <w:numId w:val="8"/>
        </w:numPr>
        <w:autoSpaceDE/>
        <w:autoSpaceDN/>
        <w:adjustRightInd/>
        <w:contextualSpacing/>
        <w:rPr>
          <w:szCs w:val="22"/>
        </w:rPr>
      </w:pPr>
      <w:r>
        <w:rPr>
          <w:szCs w:val="22"/>
        </w:rPr>
        <w:t>Fiatal tanárok és az iskola. A pályakezdés tapasztalatai.</w:t>
      </w:r>
    </w:p>
    <w:p w:rsidR="00B74981" w:rsidRDefault="00B74981" w:rsidP="00B74981">
      <w:pPr>
        <w:numPr>
          <w:ilvl w:val="0"/>
          <w:numId w:val="8"/>
        </w:numPr>
        <w:autoSpaceDE/>
        <w:autoSpaceDN/>
        <w:adjustRightInd/>
        <w:contextualSpacing/>
        <w:rPr>
          <w:szCs w:val="22"/>
        </w:rPr>
      </w:pPr>
      <w:r>
        <w:rPr>
          <w:szCs w:val="22"/>
        </w:rPr>
        <w:t xml:space="preserve">Fáradt, szemtelen vagy csak unatkozik? A fegyelmezés kérdései. </w:t>
      </w:r>
    </w:p>
    <w:p w:rsidR="00B74981" w:rsidRPr="00901E83" w:rsidRDefault="00B74981" w:rsidP="00B74981">
      <w:pPr>
        <w:numPr>
          <w:ilvl w:val="0"/>
          <w:numId w:val="8"/>
        </w:numPr>
        <w:autoSpaceDE/>
        <w:autoSpaceDN/>
        <w:adjustRightInd/>
        <w:contextualSpacing/>
        <w:rPr>
          <w:szCs w:val="22"/>
        </w:rPr>
      </w:pPr>
      <w:r>
        <w:rPr>
          <w:szCs w:val="22"/>
        </w:rPr>
        <w:t>Igazgatónak lenni manapság. Hogyan működtessünk sikeresen egy iskolát?</w:t>
      </w:r>
    </w:p>
    <w:p w:rsidR="00B74981" w:rsidRDefault="00B74981" w:rsidP="00B74981">
      <w:pPr>
        <w:numPr>
          <w:ilvl w:val="0"/>
          <w:numId w:val="8"/>
        </w:numPr>
        <w:autoSpaceDE/>
        <w:autoSpaceDN/>
        <w:adjustRightInd/>
        <w:contextualSpacing/>
        <w:rPr>
          <w:szCs w:val="22"/>
        </w:rPr>
      </w:pPr>
      <w:r>
        <w:rPr>
          <w:szCs w:val="22"/>
        </w:rPr>
        <w:t xml:space="preserve">A </w:t>
      </w:r>
      <w:r w:rsidRPr="00901E83">
        <w:rPr>
          <w:szCs w:val="22"/>
        </w:rPr>
        <w:t xml:space="preserve"> </w:t>
      </w:r>
      <w:proofErr w:type="gramStart"/>
      <w:r w:rsidRPr="00901E83">
        <w:rPr>
          <w:szCs w:val="22"/>
        </w:rPr>
        <w:t>szülő</w:t>
      </w:r>
      <w:proofErr w:type="gramEnd"/>
      <w:r>
        <w:rPr>
          <w:szCs w:val="22"/>
        </w:rPr>
        <w:t xml:space="preserve"> mint nevelési partner</w:t>
      </w:r>
      <w:r w:rsidRPr="00901E83">
        <w:rPr>
          <w:szCs w:val="22"/>
        </w:rPr>
        <w:t>.</w:t>
      </w:r>
      <w:r>
        <w:rPr>
          <w:szCs w:val="22"/>
        </w:rPr>
        <w:t xml:space="preserve"> Konfliktusok a gyerekkel, konfliktusok a szülőkkel.</w:t>
      </w:r>
      <w:r w:rsidRPr="00901E83">
        <w:rPr>
          <w:szCs w:val="22"/>
        </w:rPr>
        <w:t xml:space="preserve"> </w:t>
      </w:r>
    </w:p>
    <w:p w:rsidR="00B74981" w:rsidRDefault="00B74981" w:rsidP="00B74981">
      <w:pPr>
        <w:numPr>
          <w:ilvl w:val="0"/>
          <w:numId w:val="8"/>
        </w:numPr>
        <w:autoSpaceDE/>
        <w:autoSpaceDN/>
        <w:adjustRightInd/>
        <w:contextualSpacing/>
        <w:rPr>
          <w:szCs w:val="22"/>
        </w:rPr>
      </w:pPr>
      <w:r>
        <w:rPr>
          <w:szCs w:val="22"/>
        </w:rPr>
        <w:t xml:space="preserve">Erőszak, zaklatás, veszélyes kapcsolatok. </w:t>
      </w:r>
    </w:p>
    <w:p w:rsidR="00B74981" w:rsidRPr="00901E83" w:rsidRDefault="00B74981" w:rsidP="00B74981">
      <w:pPr>
        <w:numPr>
          <w:ilvl w:val="0"/>
          <w:numId w:val="8"/>
        </w:numPr>
        <w:autoSpaceDE/>
        <w:autoSpaceDN/>
        <w:adjustRightInd/>
        <w:contextualSpacing/>
        <w:rPr>
          <w:szCs w:val="22"/>
        </w:rPr>
      </w:pPr>
      <w:r>
        <w:rPr>
          <w:szCs w:val="22"/>
        </w:rPr>
        <w:t>Az életpályamodell és hatása. Minősítés a tanári pályán.</w:t>
      </w:r>
    </w:p>
    <w:p w:rsidR="00B74981" w:rsidRDefault="00B74981" w:rsidP="00B74981">
      <w:pPr>
        <w:autoSpaceDE/>
        <w:autoSpaceDN/>
        <w:adjustRightInd/>
        <w:contextualSpacing/>
        <w:rPr>
          <w:szCs w:val="22"/>
        </w:rPr>
      </w:pPr>
    </w:p>
    <w:p w:rsidR="00B74981" w:rsidRDefault="00B74981" w:rsidP="00B74981">
      <w:pPr>
        <w:pStyle w:val="Listaszerbekezds"/>
        <w:rPr>
          <w:sz w:val="24"/>
        </w:rPr>
      </w:pPr>
    </w:p>
    <w:p w:rsidR="00B74981" w:rsidRPr="00F42AF4" w:rsidRDefault="00B74981" w:rsidP="00B74981">
      <w:pPr>
        <w:spacing w:before="240" w:line="360" w:lineRule="auto"/>
        <w:rPr>
          <w:b/>
        </w:rPr>
      </w:pPr>
      <w:r w:rsidRPr="00F42AF4">
        <w:rPr>
          <w:b/>
        </w:rPr>
        <w:t>8. A tanegység tanítási és tanulási módszerei:</w:t>
      </w:r>
    </w:p>
    <w:p w:rsidR="00B74981" w:rsidRDefault="00B74981" w:rsidP="00B74981">
      <w:pPr>
        <w:pStyle w:val="Szvegtrzs"/>
        <w:ind w:firstLine="708"/>
        <w:rPr>
          <w:i/>
          <w:sz w:val="24"/>
          <w:szCs w:val="24"/>
        </w:rPr>
      </w:pPr>
      <w:r>
        <w:rPr>
          <w:sz w:val="24"/>
          <w:szCs w:val="24"/>
        </w:rPr>
        <w:t>Előadás és szeminarizált interaktív hallgatói munka.</w:t>
      </w:r>
    </w:p>
    <w:p w:rsidR="00B74981" w:rsidRPr="00F42AF4" w:rsidRDefault="00B74981" w:rsidP="00B74981">
      <w:pPr>
        <w:pStyle w:val="Szvegtrzs"/>
        <w:ind w:firstLine="708"/>
        <w:rPr>
          <w:i/>
          <w:sz w:val="24"/>
          <w:szCs w:val="24"/>
        </w:rPr>
      </w:pPr>
    </w:p>
    <w:p w:rsidR="00B74981" w:rsidRPr="00F42AF4" w:rsidRDefault="00B74981" w:rsidP="00B74981">
      <w:pPr>
        <w:spacing w:line="360" w:lineRule="auto"/>
        <w:rPr>
          <w:b/>
        </w:rPr>
      </w:pPr>
      <w:r w:rsidRPr="00F42AF4">
        <w:rPr>
          <w:b/>
        </w:rPr>
        <w:t>9. A tanegység teljesítésének feltételei:</w:t>
      </w:r>
    </w:p>
    <w:p w:rsidR="00B74981" w:rsidRPr="009C7974" w:rsidRDefault="00B74981" w:rsidP="00B74981">
      <w:pPr>
        <w:rPr>
          <w:b/>
          <w:i/>
        </w:rPr>
      </w:pPr>
      <w:r>
        <w:tab/>
      </w:r>
      <w:r w:rsidRPr="009C7974">
        <w:rPr>
          <w:b/>
          <w:i/>
        </w:rPr>
        <w:t>Kollokvium:</w:t>
      </w:r>
    </w:p>
    <w:p w:rsidR="00B74981" w:rsidRDefault="00B74981" w:rsidP="00B74981">
      <w:pPr>
        <w:ind w:left="851" w:hanging="143"/>
      </w:pPr>
      <w:r>
        <w:t>- féléves részfeladatok megoldása, és az ezekből összegyűjtött pontok alapján történő minősítés.</w:t>
      </w:r>
    </w:p>
    <w:p w:rsidR="00B74981" w:rsidRPr="009C7974" w:rsidRDefault="00B74981" w:rsidP="00B74981">
      <w:pPr>
        <w:ind w:left="851" w:hanging="143"/>
        <w:rPr>
          <w:i/>
        </w:rPr>
      </w:pPr>
      <w:r>
        <w:t xml:space="preserve">- </w:t>
      </w:r>
      <w:r w:rsidRPr="009C7974">
        <w:rPr>
          <w:i/>
        </w:rPr>
        <w:t xml:space="preserve">Pontszerzés: </w:t>
      </w:r>
    </w:p>
    <w:p w:rsidR="00B74981" w:rsidRDefault="00B74981" w:rsidP="00B74981">
      <w:pPr>
        <w:ind w:left="851" w:hanging="143"/>
      </w:pPr>
      <w:r>
        <w:tab/>
        <w:t>- az órai interaktív feladatokban való részvétel, aktivitás</w:t>
      </w:r>
    </w:p>
    <w:p w:rsidR="00B74981" w:rsidRDefault="00B74981" w:rsidP="00B74981">
      <w:pPr>
        <w:ind w:left="851" w:hanging="143"/>
      </w:pPr>
      <w:r>
        <w:tab/>
        <w:t xml:space="preserve">- az órával kapcsolatos </w:t>
      </w:r>
      <w:r w:rsidRPr="009F4978">
        <w:t xml:space="preserve">feladatok </w:t>
      </w:r>
      <w:r>
        <w:t>megoldása csoportos és egyéni formában</w:t>
      </w:r>
    </w:p>
    <w:p w:rsidR="00B74981" w:rsidRDefault="00B74981" w:rsidP="00B74981">
      <w:pPr>
        <w:ind w:left="851" w:hanging="143"/>
      </w:pPr>
      <w:r>
        <w:tab/>
        <w:t xml:space="preserve">- az órán való </w:t>
      </w:r>
      <w:r w:rsidRPr="009F4978">
        <w:t>részvétel (1</w:t>
      </w:r>
      <w:r w:rsidRPr="009C7974">
        <w:rPr>
          <w:b/>
        </w:rPr>
        <w:t xml:space="preserve"> </w:t>
      </w:r>
      <w:r>
        <w:t>pont)</w:t>
      </w:r>
    </w:p>
    <w:p w:rsidR="00B74981" w:rsidRDefault="00B74981" w:rsidP="00B74981">
      <w:pPr>
        <w:ind w:left="851" w:hanging="143"/>
      </w:pPr>
    </w:p>
    <w:p w:rsidR="00B74981" w:rsidRDefault="00B74981" w:rsidP="00B74981"/>
    <w:p w:rsidR="00B74981" w:rsidRPr="00F42AF4" w:rsidRDefault="00B74981" w:rsidP="00B74981">
      <w:pPr>
        <w:spacing w:line="360" w:lineRule="auto"/>
        <w:rPr>
          <w:b/>
        </w:rPr>
      </w:pPr>
      <w:r w:rsidRPr="00F42AF4">
        <w:rPr>
          <w:b/>
        </w:rPr>
        <w:t xml:space="preserve">10. A tanegység teljesítéséhez szükséges </w:t>
      </w:r>
      <w:r>
        <w:rPr>
          <w:b/>
        </w:rPr>
        <w:t xml:space="preserve">kötelező </w:t>
      </w:r>
      <w:r w:rsidRPr="00F42AF4">
        <w:rPr>
          <w:b/>
        </w:rPr>
        <w:t>szakirodalom:</w:t>
      </w:r>
    </w:p>
    <w:p w:rsidR="00B74981" w:rsidRPr="007207E4" w:rsidRDefault="00B74981" w:rsidP="00B74981">
      <w:pPr>
        <w:rPr>
          <w:b/>
          <w:i/>
        </w:rPr>
      </w:pPr>
      <w:r w:rsidRPr="00F42AF4">
        <w:tab/>
      </w:r>
      <w:r w:rsidRPr="007207E4">
        <w:rPr>
          <w:b/>
          <w:i/>
        </w:rPr>
        <w:t>A kurzushoz kiadott segédanyag</w:t>
      </w:r>
      <w:r>
        <w:rPr>
          <w:b/>
          <w:i/>
        </w:rPr>
        <w:t xml:space="preserve">,  </w:t>
      </w:r>
    </w:p>
    <w:p w:rsidR="00B74981" w:rsidRDefault="00B74981" w:rsidP="00B74981">
      <w:pPr>
        <w:rPr>
          <w:i/>
        </w:rPr>
      </w:pPr>
      <w:r w:rsidRPr="00F42AF4">
        <w:rPr>
          <w:i/>
        </w:rPr>
        <w:tab/>
      </w:r>
      <w:r>
        <w:rPr>
          <w:i/>
        </w:rPr>
        <w:t xml:space="preserve"> </w:t>
      </w:r>
    </w:p>
    <w:p w:rsidR="00B74981" w:rsidRDefault="00B74981" w:rsidP="00B74981">
      <w:pPr>
        <w:ind w:left="851" w:right="-108" w:hanging="249"/>
      </w:pPr>
      <w:r>
        <w:t xml:space="preserve">Cserpák Ferencné </w:t>
      </w:r>
      <w:proofErr w:type="spellStart"/>
      <w:r>
        <w:t>Denichné</w:t>
      </w:r>
      <w:proofErr w:type="spellEnd"/>
      <w:r>
        <w:t xml:space="preserve"> Hajdú Tímea Kovács Árpádné Molnár Judit Dr. </w:t>
      </w:r>
      <w:proofErr w:type="spellStart"/>
      <w:r>
        <w:t>Margitics</w:t>
      </w:r>
      <w:proofErr w:type="spellEnd"/>
      <w:r>
        <w:t xml:space="preserve"> Ferenc Dr. Márton Sára V. Gönczi Ibolya (2015): Feladatgyűjtemény összefüggő szakmai gyakorlatot teljesítő tanárjelöltek számára. DE Bölcsészettudományi Kar. </w:t>
      </w:r>
      <w:hyperlink r:id="rId9" w:history="1">
        <w:r w:rsidRPr="005B4814">
          <w:rPr>
            <w:rStyle w:val="Hiperhivatkozs"/>
          </w:rPr>
          <w:t>http://tanarkepzes.unideb.hu/szaktarnet/kiadvanyok/feladatgyujtemeny_tanarjelolteknek.pdf</w:t>
        </w:r>
      </w:hyperlink>
      <w:r>
        <w:t xml:space="preserve"> </w:t>
      </w:r>
    </w:p>
    <w:p w:rsidR="00B74981" w:rsidRPr="00A1282E" w:rsidRDefault="00B74981" w:rsidP="00B74981">
      <w:pPr>
        <w:ind w:left="851" w:right="-108" w:hanging="249"/>
        <w:rPr>
          <w:sz w:val="22"/>
          <w:szCs w:val="22"/>
        </w:rPr>
      </w:pPr>
      <w:r w:rsidRPr="00A1282E">
        <w:rPr>
          <w:sz w:val="22"/>
          <w:szCs w:val="22"/>
        </w:rPr>
        <w:t>Falus Iván (szerk.) (2007): A tanárrá válás folyamata. Gondolat, Budapest</w:t>
      </w:r>
    </w:p>
    <w:p w:rsidR="00B74981" w:rsidRPr="00A1282E" w:rsidRDefault="00B74981" w:rsidP="00B74981">
      <w:pPr>
        <w:ind w:left="851" w:right="-108" w:hanging="249"/>
        <w:rPr>
          <w:sz w:val="22"/>
          <w:szCs w:val="22"/>
        </w:rPr>
      </w:pPr>
      <w:proofErr w:type="spellStart"/>
      <w:r w:rsidRPr="00A1282E">
        <w:rPr>
          <w:sz w:val="22"/>
          <w:szCs w:val="22"/>
        </w:rPr>
        <w:t>Ginnis</w:t>
      </w:r>
      <w:proofErr w:type="spellEnd"/>
      <w:r w:rsidRPr="00A1282E">
        <w:rPr>
          <w:sz w:val="22"/>
          <w:szCs w:val="22"/>
        </w:rPr>
        <w:t>, Paul (2007): Tanítási és tanulási receptkönyv. Az izgalmas és élvezetes tanulás eszközei. Pécs, Pécsi Direkt kft. – Alexandra.</w:t>
      </w:r>
    </w:p>
    <w:p w:rsidR="00B74981" w:rsidRPr="00A1282E" w:rsidRDefault="00B74981" w:rsidP="00B74981">
      <w:pPr>
        <w:ind w:left="851" w:right="-108" w:hanging="249"/>
        <w:rPr>
          <w:sz w:val="22"/>
          <w:szCs w:val="22"/>
        </w:rPr>
      </w:pPr>
      <w:proofErr w:type="spellStart"/>
      <w:r w:rsidRPr="00A1282E">
        <w:rPr>
          <w:sz w:val="22"/>
          <w:szCs w:val="22"/>
        </w:rPr>
        <w:t>N</w:t>
      </w:r>
      <w:proofErr w:type="gramStart"/>
      <w:r w:rsidRPr="00A1282E">
        <w:rPr>
          <w:sz w:val="22"/>
          <w:szCs w:val="22"/>
        </w:rPr>
        <w:t>.Kollár</w:t>
      </w:r>
      <w:proofErr w:type="spellEnd"/>
      <w:proofErr w:type="gramEnd"/>
      <w:r w:rsidRPr="00A1282E">
        <w:rPr>
          <w:sz w:val="22"/>
          <w:szCs w:val="22"/>
        </w:rPr>
        <w:t xml:space="preserve"> Katalin- </w:t>
      </w:r>
      <w:proofErr w:type="spellStart"/>
      <w:r w:rsidRPr="00A1282E">
        <w:rPr>
          <w:sz w:val="22"/>
          <w:szCs w:val="22"/>
        </w:rPr>
        <w:t>Rapos</w:t>
      </w:r>
      <w:proofErr w:type="spellEnd"/>
      <w:r w:rsidRPr="00A1282E">
        <w:rPr>
          <w:sz w:val="22"/>
          <w:szCs w:val="22"/>
        </w:rPr>
        <w:t xml:space="preserve"> Nóra (</w:t>
      </w:r>
      <w:proofErr w:type="spellStart"/>
      <w:r w:rsidRPr="00A1282E">
        <w:rPr>
          <w:sz w:val="22"/>
          <w:szCs w:val="22"/>
        </w:rPr>
        <w:t>szerk</w:t>
      </w:r>
      <w:proofErr w:type="spellEnd"/>
      <w:r w:rsidRPr="00A1282E">
        <w:rPr>
          <w:sz w:val="22"/>
          <w:szCs w:val="22"/>
        </w:rPr>
        <w:t xml:space="preserve">) (2005): Tanár leszek. A társas, társadalmi viszonyok.  [Tanár leszek 1.] Budapest, ELTE Eötvös Kiadó. </w:t>
      </w:r>
      <w:hyperlink r:id="rId10" w:history="1">
        <w:r w:rsidRPr="00A1282E">
          <w:rPr>
            <w:rStyle w:val="Hiperhivatkozs"/>
            <w:sz w:val="22"/>
            <w:szCs w:val="22"/>
          </w:rPr>
          <w:t>http://www.eltereader.hu/media/2015/11/Tanar_leszek_REA</w:t>
        </w:r>
        <w:proofErr w:type="gramStart"/>
        <w:r w:rsidRPr="00A1282E">
          <w:rPr>
            <w:rStyle w:val="Hiperhivatkozs"/>
            <w:sz w:val="22"/>
            <w:szCs w:val="22"/>
          </w:rPr>
          <w:t>DER.pdf</w:t>
        </w:r>
      </w:hyperlink>
      <w:r w:rsidRPr="00A1282E">
        <w:rPr>
          <w:sz w:val="22"/>
          <w:szCs w:val="22"/>
        </w:rPr>
        <w:t xml:space="preserve">   </w:t>
      </w:r>
      <w:r w:rsidRPr="00A1282E" w:rsidDel="00BB7172">
        <w:rPr>
          <w:sz w:val="22"/>
          <w:szCs w:val="22"/>
        </w:rPr>
        <w:t>Falus</w:t>
      </w:r>
      <w:proofErr w:type="gramEnd"/>
      <w:r w:rsidRPr="00A1282E" w:rsidDel="00BB7172">
        <w:rPr>
          <w:sz w:val="22"/>
          <w:szCs w:val="22"/>
        </w:rPr>
        <w:t xml:space="preserve"> Iván (szerk.) (2003): Didaktika Nemzeti Tankönyvkiadó, Budapest</w:t>
      </w:r>
    </w:p>
    <w:p w:rsidR="00B74981" w:rsidRPr="009C7974" w:rsidRDefault="00B74981" w:rsidP="00B74981">
      <w:pPr>
        <w:ind w:left="851" w:right="-108" w:hanging="249"/>
        <w:rPr>
          <w:bCs/>
          <w:sz w:val="22"/>
          <w:szCs w:val="22"/>
        </w:rPr>
      </w:pPr>
      <w:proofErr w:type="spellStart"/>
      <w:r w:rsidRPr="009C7974">
        <w:rPr>
          <w:bCs/>
          <w:sz w:val="22"/>
          <w:szCs w:val="22"/>
        </w:rPr>
        <w:t>Prievara</w:t>
      </w:r>
      <w:proofErr w:type="spellEnd"/>
      <w:r w:rsidRPr="009C7974">
        <w:rPr>
          <w:bCs/>
          <w:sz w:val="22"/>
          <w:szCs w:val="22"/>
        </w:rPr>
        <w:t xml:space="preserve"> Tibor: A 21 századi tanár</w:t>
      </w:r>
      <w:r>
        <w:rPr>
          <w:bCs/>
          <w:sz w:val="22"/>
          <w:szCs w:val="22"/>
        </w:rPr>
        <w:t xml:space="preserve">. </w:t>
      </w:r>
      <w:r w:rsidRPr="009C7974">
        <w:rPr>
          <w:bCs/>
          <w:sz w:val="22"/>
          <w:szCs w:val="22"/>
        </w:rPr>
        <w:t>Egy pedagógiai szemléletváltás személyes története.</w:t>
      </w:r>
      <w:r>
        <w:rPr>
          <w:bCs/>
          <w:sz w:val="22"/>
          <w:szCs w:val="22"/>
        </w:rPr>
        <w:t xml:space="preserve"> </w:t>
      </w:r>
      <w:proofErr w:type="spellStart"/>
      <w:r w:rsidRPr="009C7974">
        <w:rPr>
          <w:bCs/>
          <w:sz w:val="22"/>
          <w:szCs w:val="22"/>
        </w:rPr>
        <w:t>Neteducatio</w:t>
      </w:r>
      <w:proofErr w:type="spellEnd"/>
      <w:r w:rsidRPr="009C7974">
        <w:rPr>
          <w:bCs/>
          <w:sz w:val="22"/>
          <w:szCs w:val="22"/>
        </w:rPr>
        <w:t xml:space="preserve"> Kft., 2015.</w:t>
      </w:r>
    </w:p>
    <w:p w:rsidR="00B74981" w:rsidRDefault="00B74981" w:rsidP="00B74981">
      <w:pPr>
        <w:ind w:left="851" w:right="-108" w:hanging="249"/>
        <w:rPr>
          <w:sz w:val="22"/>
          <w:szCs w:val="22"/>
        </w:rPr>
      </w:pPr>
      <w:r w:rsidRPr="00A1282E">
        <w:rPr>
          <w:sz w:val="22"/>
          <w:szCs w:val="22"/>
        </w:rPr>
        <w:t>Szabó László Tamás (2010): Bevezetés a tanári mesterségbe.  Debrecen, Debreceni Egyetemi Kiadó, [</w:t>
      </w:r>
      <w:proofErr w:type="spellStart"/>
      <w:r w:rsidRPr="00A1282E">
        <w:rPr>
          <w:sz w:val="22"/>
          <w:szCs w:val="22"/>
        </w:rPr>
        <w:t>Pallas</w:t>
      </w:r>
      <w:proofErr w:type="spellEnd"/>
      <w:r w:rsidRPr="00A1282E">
        <w:rPr>
          <w:sz w:val="22"/>
          <w:szCs w:val="22"/>
        </w:rPr>
        <w:t xml:space="preserve"> </w:t>
      </w:r>
      <w:proofErr w:type="spellStart"/>
      <w:r w:rsidRPr="00A1282E">
        <w:rPr>
          <w:sz w:val="22"/>
          <w:szCs w:val="22"/>
        </w:rPr>
        <w:t>Debrecina</w:t>
      </w:r>
      <w:proofErr w:type="spellEnd"/>
      <w:r w:rsidRPr="00A1282E">
        <w:rPr>
          <w:sz w:val="22"/>
          <w:szCs w:val="22"/>
        </w:rPr>
        <w:t xml:space="preserve"> 19.]</w:t>
      </w:r>
    </w:p>
    <w:p w:rsidR="00B74981" w:rsidRDefault="00B74981" w:rsidP="00B74981">
      <w:pPr>
        <w:ind w:left="851" w:right="-108" w:hanging="249"/>
        <w:rPr>
          <w:sz w:val="22"/>
          <w:szCs w:val="22"/>
        </w:rPr>
      </w:pPr>
      <w:r>
        <w:rPr>
          <w:sz w:val="22"/>
          <w:szCs w:val="22"/>
        </w:rPr>
        <w:t xml:space="preserve">Szili László (2016): Beírás. Iskolai túlélőkalauz apáknak. </w:t>
      </w:r>
      <w:proofErr w:type="spellStart"/>
      <w:r>
        <w:rPr>
          <w:sz w:val="22"/>
          <w:szCs w:val="22"/>
        </w:rPr>
        <w:t>Bookline</w:t>
      </w:r>
      <w:proofErr w:type="spellEnd"/>
      <w:r>
        <w:rPr>
          <w:sz w:val="22"/>
          <w:szCs w:val="22"/>
        </w:rPr>
        <w:t xml:space="preserve"> Könyvek. </w:t>
      </w:r>
    </w:p>
    <w:p w:rsidR="00B74981" w:rsidRPr="00A1282E" w:rsidRDefault="00B74981" w:rsidP="00B74981">
      <w:pPr>
        <w:ind w:left="851" w:right="-108" w:hanging="249"/>
        <w:rPr>
          <w:sz w:val="22"/>
          <w:szCs w:val="22"/>
        </w:rPr>
      </w:pPr>
    </w:p>
    <w:p w:rsidR="00B74981" w:rsidRDefault="00B74981" w:rsidP="00B74981">
      <w:pPr>
        <w:rPr>
          <w:b/>
        </w:rPr>
      </w:pPr>
    </w:p>
    <w:p w:rsidR="00B74981" w:rsidRDefault="00B74981" w:rsidP="00B74981">
      <w:r w:rsidRPr="00F42AF4">
        <w:rPr>
          <w:b/>
        </w:rPr>
        <w:t>11.  A képzés nyelve:</w:t>
      </w:r>
      <w:r w:rsidRPr="00F42AF4">
        <w:tab/>
      </w:r>
      <w:r w:rsidRPr="00F42AF4">
        <w:rPr>
          <w:i/>
        </w:rPr>
        <w:t>magyar</w:t>
      </w:r>
    </w:p>
    <w:p w:rsidR="00B74981" w:rsidRDefault="00B74981" w:rsidP="00C5751D">
      <w:pPr>
        <w:tabs>
          <w:tab w:val="left" w:pos="5670"/>
        </w:tabs>
        <w:rPr>
          <w:b/>
        </w:rPr>
      </w:pPr>
    </w:p>
    <w:p w:rsidR="00802900" w:rsidRDefault="00802900" w:rsidP="00C5751D">
      <w:pPr>
        <w:tabs>
          <w:tab w:val="left" w:pos="567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02900" w:rsidRDefault="00802900" w:rsidP="00C5751D">
      <w:pPr>
        <w:tabs>
          <w:tab w:val="left" w:pos="5670"/>
        </w:tabs>
        <w:rPr>
          <w:b/>
        </w:rPr>
      </w:pPr>
    </w:p>
    <w:p w:rsidR="003E4158" w:rsidRPr="0094534F" w:rsidRDefault="00802900" w:rsidP="00DC3280">
      <w:pPr>
        <w:tabs>
          <w:tab w:val="left" w:pos="5670"/>
        </w:tabs>
        <w:rPr>
          <w:rFonts w:ascii="Calibri" w:hAnsi="Calibri"/>
          <w:lang w:val="en-US"/>
        </w:rPr>
      </w:pPr>
      <w:r>
        <w:rPr>
          <w:b/>
        </w:rPr>
        <w:tab/>
      </w:r>
    </w:p>
    <w:p w:rsidR="00C5751D" w:rsidRDefault="00C5751D" w:rsidP="003E4158">
      <w:pPr>
        <w:rPr>
          <w:bCs/>
        </w:rPr>
      </w:pPr>
    </w:p>
    <w:sectPr w:rsidR="00C5751D" w:rsidSect="00225991">
      <w:headerReference w:type="default" r:id="rId11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19" w:rsidRDefault="00E55C19" w:rsidP="007523CC">
      <w:r>
        <w:separator/>
      </w:r>
    </w:p>
  </w:endnote>
  <w:endnote w:type="continuationSeparator" w:id="0">
    <w:p w:rsidR="00E55C19" w:rsidRDefault="00E55C19" w:rsidP="0075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ngk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19" w:rsidRDefault="00E55C19" w:rsidP="007523CC">
      <w:r>
        <w:separator/>
      </w:r>
    </w:p>
  </w:footnote>
  <w:footnote w:type="continuationSeparator" w:id="0">
    <w:p w:rsidR="00E55C19" w:rsidRDefault="00E55C19" w:rsidP="0075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CC" w:rsidRDefault="007B4708" w:rsidP="007B4708">
    <w:pPr>
      <w:pStyle w:val="Cm"/>
      <w:jc w:val="left"/>
      <w:rPr>
        <w:rFonts w:ascii="Garamond" w:hAnsi="Garamond" w:cs="Bangkok"/>
      </w:rPr>
    </w:pPr>
    <w:r>
      <w:rPr>
        <w:rFonts w:ascii="Garamond" w:hAnsi="Garamond" w:cs="Bangkok"/>
        <w:noProof/>
      </w:rPr>
      <w:drawing>
        <wp:anchor distT="0" distB="0" distL="114300" distR="114300" simplePos="0" relativeHeight="251656704" behindDoc="0" locked="0" layoutInCell="1" allowOverlap="1" wp14:anchorId="6FA35FFE" wp14:editId="69A68829">
          <wp:simplePos x="0" y="0"/>
          <wp:positionH relativeFrom="margin">
            <wp:posOffset>4625464</wp:posOffset>
          </wp:positionH>
          <wp:positionV relativeFrom="paragraph">
            <wp:posOffset>-127000</wp:posOffset>
          </wp:positionV>
          <wp:extent cx="1143000" cy="584588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708">
      <w:rPr>
        <w:rFonts w:ascii="Garamond" w:hAnsi="Garamond" w:cs="Bangkok"/>
        <w:noProof/>
      </w:rPr>
      <w:drawing>
        <wp:anchor distT="0" distB="0" distL="114300" distR="114300" simplePos="0" relativeHeight="251672064" behindDoc="0" locked="0" layoutInCell="1" allowOverlap="1" wp14:anchorId="34C28B73" wp14:editId="266C8C9A">
          <wp:simplePos x="0" y="0"/>
          <wp:positionH relativeFrom="column">
            <wp:posOffset>-80645</wp:posOffset>
          </wp:positionH>
          <wp:positionV relativeFrom="paragraph">
            <wp:posOffset>-252095</wp:posOffset>
          </wp:positionV>
          <wp:extent cx="2143125" cy="706755"/>
          <wp:effectExtent l="0" t="0" r="0" b="0"/>
          <wp:wrapTopAndBottom/>
          <wp:docPr id="1" name="Kép 1" descr="C:\Users\fruzsina\Desktop\ud-hun-vilagoshatte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uzsina\Desktop\ud-hun-vilagoshatter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23CC" w:rsidRPr="007B4708" w:rsidRDefault="007523CC" w:rsidP="007B4708">
    <w:pPr>
      <w:pStyle w:val="Cm"/>
      <w:spacing w:line="360" w:lineRule="auto"/>
      <w:ind w:firstLine="567"/>
      <w:rPr>
        <w:b/>
        <w:caps/>
        <w:smallCaps w:val="0"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debreceni egyetem</w:t>
    </w:r>
  </w:p>
  <w:p w:rsidR="007523CC" w:rsidRPr="007B4708" w:rsidRDefault="007523CC" w:rsidP="007B4708">
    <w:pPr>
      <w:pStyle w:val="Cm"/>
      <w:spacing w:line="360" w:lineRule="auto"/>
      <w:ind w:firstLine="567"/>
      <w:rPr>
        <w:b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n</w:t>
    </w:r>
    <w:r w:rsidRPr="007B4708">
      <w:rPr>
        <w:b/>
        <w:sz w:val="24"/>
        <w:szCs w:val="24"/>
      </w:rPr>
      <w:t>evelés</w:t>
    </w:r>
    <w:r w:rsidR="0095355B" w:rsidRPr="007B4708">
      <w:rPr>
        <w:b/>
        <w:sz w:val="24"/>
        <w:szCs w:val="24"/>
      </w:rPr>
      <w:t>-és Művelődéstudományi</w:t>
    </w:r>
    <w:r w:rsidR="00774DC7">
      <w:rPr>
        <w:b/>
        <w:sz w:val="24"/>
        <w:szCs w:val="24"/>
      </w:rPr>
      <w:t xml:space="preserve"> </w:t>
    </w:r>
    <w:r w:rsidRPr="007B4708">
      <w:rPr>
        <w:b/>
        <w:caps/>
        <w:smallCaps w:val="0"/>
        <w:sz w:val="24"/>
        <w:szCs w:val="24"/>
      </w:rPr>
      <w:t>i</w:t>
    </w:r>
    <w:r w:rsidR="0095355B" w:rsidRPr="007B4708">
      <w:rPr>
        <w:b/>
        <w:sz w:val="24"/>
        <w:szCs w:val="24"/>
      </w:rPr>
      <w:t>ntézet</w:t>
    </w:r>
  </w:p>
  <w:p w:rsidR="007B4708" w:rsidRPr="007B4708" w:rsidRDefault="00D11E50" w:rsidP="007B4708">
    <w:pPr>
      <w:pStyle w:val="Cm"/>
      <w:ind w:firstLine="567"/>
      <w:rPr>
        <w:smallCaps w:val="0"/>
        <w:sz w:val="24"/>
        <w:szCs w:val="24"/>
      </w:rPr>
    </w:pPr>
    <w:r>
      <w:rPr>
        <w:smallCaps w:val="0"/>
        <w:sz w:val="24"/>
        <w:szCs w:val="24"/>
      </w:rPr>
      <w:t>H-4032 Debrecen, Egyetem tér 1.</w:t>
    </w:r>
  </w:p>
  <w:p w:rsidR="007523CC" w:rsidRPr="007B4708" w:rsidRDefault="007B4708" w:rsidP="007B4708">
    <w:pPr>
      <w:pStyle w:val="Cm"/>
      <w:ind w:firstLine="567"/>
      <w:rPr>
        <w:smallCaps w:val="0"/>
        <w:sz w:val="24"/>
        <w:szCs w:val="24"/>
      </w:rPr>
    </w:pPr>
    <w:r w:rsidRPr="007B4708">
      <w:rPr>
        <w:smallCaps w:val="0"/>
        <w:sz w:val="24"/>
        <w:szCs w:val="24"/>
      </w:rPr>
      <w:t>Levelezési cím: 4002 Debrecen, Pf. 400. Intézeti iroda: +36 (52) 512-922</w:t>
    </w:r>
    <w:r w:rsidR="00B74981">
      <w:rPr>
        <w:smallCaps w:val="0"/>
        <w:noProof/>
        <w:sz w:val="24"/>
        <w:szCs w:val="24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229234</wp:posOffset>
              </wp:positionV>
              <wp:extent cx="6038850" cy="0"/>
              <wp:effectExtent l="0" t="0" r="19050" b="1905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8.05pt;width:475.5pt;height:0;z-index:251661312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" strokecolor="#76923c [2406]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4F6E"/>
    <w:multiLevelType w:val="hybridMultilevel"/>
    <w:tmpl w:val="EEEED2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87E29"/>
    <w:multiLevelType w:val="hybridMultilevel"/>
    <w:tmpl w:val="29B67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D236B"/>
    <w:multiLevelType w:val="hybridMultilevel"/>
    <w:tmpl w:val="289C4B5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E366F"/>
    <w:multiLevelType w:val="hybridMultilevel"/>
    <w:tmpl w:val="EA6E3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14E18"/>
    <w:multiLevelType w:val="hybridMultilevel"/>
    <w:tmpl w:val="2CB81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A6A1D"/>
    <w:multiLevelType w:val="hybridMultilevel"/>
    <w:tmpl w:val="EFECD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E2B5B"/>
    <w:multiLevelType w:val="hybridMultilevel"/>
    <w:tmpl w:val="E88E13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66843"/>
    <w:multiLevelType w:val="hybridMultilevel"/>
    <w:tmpl w:val="A1D4A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CC"/>
    <w:rsid w:val="000652AC"/>
    <w:rsid w:val="0008140F"/>
    <w:rsid w:val="000842DA"/>
    <w:rsid w:val="000C4C65"/>
    <w:rsid w:val="00127A5B"/>
    <w:rsid w:val="00133ED0"/>
    <w:rsid w:val="0019439D"/>
    <w:rsid w:val="001A5C4E"/>
    <w:rsid w:val="001C1093"/>
    <w:rsid w:val="00225991"/>
    <w:rsid w:val="002754BB"/>
    <w:rsid w:val="002D74F7"/>
    <w:rsid w:val="00323777"/>
    <w:rsid w:val="003561F7"/>
    <w:rsid w:val="003E4158"/>
    <w:rsid w:val="003F16D2"/>
    <w:rsid w:val="003F4164"/>
    <w:rsid w:val="00473F6E"/>
    <w:rsid w:val="004B20FC"/>
    <w:rsid w:val="004C0E18"/>
    <w:rsid w:val="004F7BCC"/>
    <w:rsid w:val="00520126"/>
    <w:rsid w:val="005341EE"/>
    <w:rsid w:val="00560350"/>
    <w:rsid w:val="005A590F"/>
    <w:rsid w:val="005A624B"/>
    <w:rsid w:val="00645856"/>
    <w:rsid w:val="00695AA4"/>
    <w:rsid w:val="006B581B"/>
    <w:rsid w:val="007005C7"/>
    <w:rsid w:val="007523CC"/>
    <w:rsid w:val="00774DC7"/>
    <w:rsid w:val="007A00D8"/>
    <w:rsid w:val="007B4708"/>
    <w:rsid w:val="007D6DF2"/>
    <w:rsid w:val="007D6E1D"/>
    <w:rsid w:val="00802900"/>
    <w:rsid w:val="00821A9D"/>
    <w:rsid w:val="00835A5E"/>
    <w:rsid w:val="008513E8"/>
    <w:rsid w:val="008A1D41"/>
    <w:rsid w:val="0095355B"/>
    <w:rsid w:val="00977EA2"/>
    <w:rsid w:val="009850C9"/>
    <w:rsid w:val="009B23F5"/>
    <w:rsid w:val="009C5922"/>
    <w:rsid w:val="009D02ED"/>
    <w:rsid w:val="00A44BE1"/>
    <w:rsid w:val="00A66C85"/>
    <w:rsid w:val="00A82757"/>
    <w:rsid w:val="00A85173"/>
    <w:rsid w:val="00A910EC"/>
    <w:rsid w:val="00AA7BDA"/>
    <w:rsid w:val="00AB6059"/>
    <w:rsid w:val="00AF2DE0"/>
    <w:rsid w:val="00AF4309"/>
    <w:rsid w:val="00B17D2B"/>
    <w:rsid w:val="00B25C01"/>
    <w:rsid w:val="00B74981"/>
    <w:rsid w:val="00B86D46"/>
    <w:rsid w:val="00BE6129"/>
    <w:rsid w:val="00C00EE6"/>
    <w:rsid w:val="00C2237B"/>
    <w:rsid w:val="00C30C27"/>
    <w:rsid w:val="00C5751D"/>
    <w:rsid w:val="00CB0A34"/>
    <w:rsid w:val="00CC62A3"/>
    <w:rsid w:val="00CD585A"/>
    <w:rsid w:val="00D11E50"/>
    <w:rsid w:val="00D137C3"/>
    <w:rsid w:val="00D14171"/>
    <w:rsid w:val="00D52A3B"/>
    <w:rsid w:val="00D74507"/>
    <w:rsid w:val="00DC3280"/>
    <w:rsid w:val="00DF4508"/>
    <w:rsid w:val="00E55C19"/>
    <w:rsid w:val="00EA36AC"/>
    <w:rsid w:val="00EA6366"/>
    <w:rsid w:val="00EB2835"/>
    <w:rsid w:val="00EF2504"/>
    <w:rsid w:val="00F179E4"/>
    <w:rsid w:val="00FA06C5"/>
    <w:rsid w:val="00FC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74981"/>
    <w:pPr>
      <w:keepNext/>
      <w:autoSpaceDE/>
      <w:autoSpaceDN/>
      <w:adjustRightInd/>
      <w:spacing w:before="60" w:after="60"/>
      <w:outlineLvl w:val="0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2237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3E4158"/>
    <w:pPr>
      <w:widowControl w:val="0"/>
      <w:spacing w:after="120"/>
    </w:pPr>
    <w:rPr>
      <w:sz w:val="20"/>
      <w:szCs w:val="20"/>
      <w:lang w:val="pl-PL" w:eastAsia="pl-PL"/>
    </w:rPr>
  </w:style>
  <w:style w:type="character" w:customStyle="1" w:styleId="SzvegtrzsChar">
    <w:name w:val="Szövegtörzs Char"/>
    <w:basedOn w:val="Bekezdsalapbettpusa"/>
    <w:link w:val="Szvegtrzs"/>
    <w:uiPriority w:val="99"/>
    <w:rsid w:val="003E41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msor1Char">
    <w:name w:val="Címsor 1 Char"/>
    <w:basedOn w:val="Bekezdsalapbettpusa"/>
    <w:link w:val="Cmsor1"/>
    <w:rsid w:val="00B74981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rsid w:val="00B7498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74981"/>
    <w:pPr>
      <w:keepNext/>
      <w:autoSpaceDE/>
      <w:autoSpaceDN/>
      <w:adjustRightInd/>
      <w:spacing w:before="60" w:after="60"/>
      <w:outlineLvl w:val="0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2237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3E4158"/>
    <w:pPr>
      <w:widowControl w:val="0"/>
      <w:spacing w:after="120"/>
    </w:pPr>
    <w:rPr>
      <w:sz w:val="20"/>
      <w:szCs w:val="20"/>
      <w:lang w:val="pl-PL" w:eastAsia="pl-PL"/>
    </w:rPr>
  </w:style>
  <w:style w:type="character" w:customStyle="1" w:styleId="SzvegtrzsChar">
    <w:name w:val="Szövegtörzs Char"/>
    <w:basedOn w:val="Bekezdsalapbettpusa"/>
    <w:link w:val="Szvegtrzs"/>
    <w:uiPriority w:val="99"/>
    <w:rsid w:val="003E41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msor1Char">
    <w:name w:val="Címsor 1 Char"/>
    <w:basedOn w:val="Bekezdsalapbettpusa"/>
    <w:link w:val="Cmsor1"/>
    <w:rsid w:val="00B74981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rsid w:val="00B7498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ucs.timea@arts.unideb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ltereader.hu/media/2015/11/Tanar_leszek_READE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narkepzes.unideb.hu/szaktarnet/kiadvanyok/feladatgyujtemeny_tanarjelolteknek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KultúrÁsz</cp:lastModifiedBy>
  <cp:revision>3</cp:revision>
  <cp:lastPrinted>2017-10-18T08:57:00Z</cp:lastPrinted>
  <dcterms:created xsi:type="dcterms:W3CDTF">2018-09-12T13:26:00Z</dcterms:created>
  <dcterms:modified xsi:type="dcterms:W3CDTF">2018-09-12T13:28:00Z</dcterms:modified>
</cp:coreProperties>
</file>