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DE" w:rsidRDefault="007002DE" w:rsidP="007002DE">
      <w:pPr>
        <w:tabs>
          <w:tab w:val="left" w:pos="5670"/>
        </w:tabs>
        <w:rPr>
          <w:b/>
        </w:rPr>
      </w:pPr>
    </w:p>
    <w:p w:rsidR="007002DE" w:rsidRPr="00446E47" w:rsidRDefault="007002DE" w:rsidP="00446E47">
      <w:pPr>
        <w:tabs>
          <w:tab w:val="left" w:pos="5670"/>
        </w:tabs>
        <w:rPr>
          <w:b/>
        </w:rPr>
      </w:pPr>
      <w:r>
        <w:rPr>
          <w:b/>
        </w:rPr>
        <w:tab/>
      </w:r>
      <w:r>
        <w:rPr>
          <w:b/>
        </w:rPr>
        <w:tab/>
      </w:r>
    </w:p>
    <w:p w:rsidR="00446E47" w:rsidRDefault="00446E47" w:rsidP="00446E47">
      <w:pPr>
        <w:jc w:val="center"/>
        <w:rPr>
          <w:b/>
          <w:bCs/>
          <w:iCs/>
        </w:rPr>
      </w:pPr>
      <w:r w:rsidRPr="002A5280">
        <w:rPr>
          <w:b/>
          <w:bCs/>
          <w:iCs/>
        </w:rPr>
        <w:t>Bevezetés az oktatás és az iskola világába</w:t>
      </w:r>
    </w:p>
    <w:p w:rsidR="00446E47" w:rsidRDefault="00446E47" w:rsidP="00446E47">
      <w:pPr>
        <w:jc w:val="center"/>
        <w:rPr>
          <w:b/>
        </w:rPr>
      </w:pPr>
      <w:r>
        <w:rPr>
          <w:b/>
        </w:rPr>
        <w:t>Pedagógia</w:t>
      </w:r>
      <w:r w:rsidRPr="002A5280">
        <w:rPr>
          <w:b/>
        </w:rPr>
        <w:t xml:space="preserve"> BA I.</w:t>
      </w:r>
      <w:r w:rsidR="00C54527">
        <w:rPr>
          <w:b/>
        </w:rPr>
        <w:t xml:space="preserve"> </w:t>
      </w:r>
      <w:r>
        <w:rPr>
          <w:b/>
        </w:rPr>
        <w:t>2018/19</w:t>
      </w:r>
      <w:r w:rsidRPr="002A5280">
        <w:rPr>
          <w:b/>
        </w:rPr>
        <w:t>. I. félév</w:t>
      </w:r>
    </w:p>
    <w:p w:rsidR="00446E47" w:rsidRPr="00AA7DF7" w:rsidRDefault="00446E47" w:rsidP="00446E47">
      <w:pPr>
        <w:jc w:val="center"/>
        <w:rPr>
          <w:b/>
          <w:bCs/>
          <w:iCs/>
        </w:rPr>
      </w:pPr>
    </w:p>
    <w:tbl>
      <w:tblPr>
        <w:tblStyle w:val="Rcsostblzat"/>
        <w:tblW w:w="0" w:type="auto"/>
        <w:jc w:val="center"/>
        <w:tblLook w:val="04A0"/>
      </w:tblPr>
      <w:tblGrid>
        <w:gridCol w:w="816"/>
        <w:gridCol w:w="7667"/>
      </w:tblGrid>
      <w:tr w:rsidR="00446E47" w:rsidTr="00DF45ED">
        <w:trPr>
          <w:trHeight w:hRule="exact" w:val="340"/>
          <w:jc w:val="center"/>
        </w:trPr>
        <w:tc>
          <w:tcPr>
            <w:tcW w:w="0" w:type="auto"/>
            <w:vAlign w:val="center"/>
          </w:tcPr>
          <w:p w:rsidR="00446E47" w:rsidRDefault="00446E47" w:rsidP="00DF45ED">
            <w:pPr>
              <w:rPr>
                <w:rFonts w:ascii="Times New Roman" w:hAnsi="Times New Roman" w:cs="Times New Roman"/>
                <w:sz w:val="24"/>
                <w:szCs w:val="24"/>
              </w:rPr>
            </w:pPr>
            <w:r>
              <w:rPr>
                <w:rFonts w:ascii="Times New Roman" w:hAnsi="Times New Roman" w:cs="Times New Roman"/>
                <w:sz w:val="24"/>
                <w:szCs w:val="24"/>
              </w:rPr>
              <w:t>09.11.</w:t>
            </w:r>
          </w:p>
        </w:tc>
        <w:tc>
          <w:tcPr>
            <w:tcW w:w="0" w:type="auto"/>
            <w:vAlign w:val="center"/>
          </w:tcPr>
          <w:p w:rsidR="00446E47" w:rsidRDefault="00446E47" w:rsidP="00DF45ED">
            <w:pPr>
              <w:rPr>
                <w:rFonts w:ascii="Times New Roman" w:hAnsi="Times New Roman" w:cs="Times New Roman"/>
                <w:sz w:val="24"/>
                <w:szCs w:val="24"/>
              </w:rPr>
            </w:pPr>
            <w:r>
              <w:rPr>
                <w:rFonts w:ascii="Times New Roman" w:hAnsi="Times New Roman" w:cs="Times New Roman"/>
                <w:sz w:val="24"/>
                <w:szCs w:val="24"/>
              </w:rPr>
              <w:t>Félévnyitó megbeszélés, feladatok, követelmények</w:t>
            </w:r>
          </w:p>
        </w:tc>
      </w:tr>
      <w:tr w:rsidR="00446E47" w:rsidTr="00DF45ED">
        <w:trPr>
          <w:trHeight w:hRule="exact" w:val="340"/>
          <w:jc w:val="center"/>
        </w:trPr>
        <w:tc>
          <w:tcPr>
            <w:tcW w:w="0" w:type="auto"/>
            <w:vAlign w:val="center"/>
          </w:tcPr>
          <w:p w:rsidR="00446E47" w:rsidRDefault="00446E47" w:rsidP="00DF45ED">
            <w:pPr>
              <w:rPr>
                <w:rFonts w:ascii="Times New Roman" w:hAnsi="Times New Roman" w:cs="Times New Roman"/>
                <w:sz w:val="24"/>
                <w:szCs w:val="24"/>
              </w:rPr>
            </w:pPr>
            <w:r>
              <w:rPr>
                <w:rFonts w:ascii="Times New Roman" w:hAnsi="Times New Roman" w:cs="Times New Roman"/>
                <w:sz w:val="24"/>
                <w:szCs w:val="24"/>
              </w:rPr>
              <w:t>09.18.</w:t>
            </w:r>
          </w:p>
        </w:tc>
        <w:tc>
          <w:tcPr>
            <w:tcW w:w="0" w:type="auto"/>
            <w:vAlign w:val="center"/>
          </w:tcPr>
          <w:p w:rsidR="00446E47" w:rsidRPr="002A5280" w:rsidRDefault="00446E47" w:rsidP="00DF45ED">
            <w:pPr>
              <w:rPr>
                <w:rFonts w:ascii="Times New Roman" w:hAnsi="Times New Roman" w:cs="Times New Roman"/>
                <w:sz w:val="24"/>
                <w:szCs w:val="24"/>
              </w:rPr>
            </w:pPr>
            <w:r>
              <w:rPr>
                <w:rFonts w:ascii="Times New Roman" w:hAnsi="Times New Roman" w:cs="Times New Roman"/>
                <w:sz w:val="24"/>
                <w:szCs w:val="24"/>
              </w:rPr>
              <w:t>Az</w:t>
            </w:r>
            <w:r w:rsidRPr="002A5280">
              <w:rPr>
                <w:rFonts w:ascii="Times New Roman" w:hAnsi="Times New Roman" w:cs="Times New Roman"/>
                <w:sz w:val="24"/>
                <w:szCs w:val="24"/>
              </w:rPr>
              <w:t xml:space="preserve"> iskolák belső világa</w:t>
            </w:r>
          </w:p>
        </w:tc>
      </w:tr>
      <w:tr w:rsidR="00446E47" w:rsidTr="00DF45ED">
        <w:trPr>
          <w:trHeight w:hRule="exact" w:val="340"/>
          <w:jc w:val="center"/>
        </w:trPr>
        <w:tc>
          <w:tcPr>
            <w:tcW w:w="0" w:type="auto"/>
            <w:vAlign w:val="center"/>
          </w:tcPr>
          <w:p w:rsidR="00446E47" w:rsidRDefault="00446E47" w:rsidP="00DF45ED">
            <w:pPr>
              <w:rPr>
                <w:rFonts w:ascii="Times New Roman" w:hAnsi="Times New Roman" w:cs="Times New Roman"/>
                <w:sz w:val="24"/>
                <w:szCs w:val="24"/>
              </w:rPr>
            </w:pPr>
            <w:r>
              <w:rPr>
                <w:rFonts w:ascii="Times New Roman" w:hAnsi="Times New Roman" w:cs="Times New Roman"/>
                <w:sz w:val="24"/>
                <w:szCs w:val="24"/>
              </w:rPr>
              <w:t>09.25.</w:t>
            </w:r>
          </w:p>
        </w:tc>
        <w:tc>
          <w:tcPr>
            <w:tcW w:w="0" w:type="auto"/>
            <w:vAlign w:val="center"/>
          </w:tcPr>
          <w:p w:rsidR="00446E47" w:rsidRPr="002A5280" w:rsidRDefault="00446E47" w:rsidP="00446E47">
            <w:pPr>
              <w:rPr>
                <w:rFonts w:ascii="Times New Roman" w:hAnsi="Times New Roman" w:cs="Times New Roman"/>
                <w:sz w:val="24"/>
                <w:szCs w:val="24"/>
              </w:rPr>
            </w:pPr>
            <w:r>
              <w:rPr>
                <w:rFonts w:ascii="Times New Roman" w:hAnsi="Times New Roman" w:cs="Times New Roman"/>
                <w:sz w:val="24"/>
                <w:szCs w:val="24"/>
              </w:rPr>
              <w:t>Tanulói típusok</w:t>
            </w:r>
          </w:p>
        </w:tc>
      </w:tr>
      <w:tr w:rsidR="00446E47" w:rsidTr="00DF45ED">
        <w:trPr>
          <w:trHeight w:hRule="exact" w:val="340"/>
          <w:jc w:val="center"/>
        </w:trPr>
        <w:tc>
          <w:tcPr>
            <w:tcW w:w="0" w:type="auto"/>
            <w:vAlign w:val="center"/>
          </w:tcPr>
          <w:p w:rsidR="00446E47" w:rsidRDefault="00446E47" w:rsidP="00DF45ED">
            <w:pPr>
              <w:rPr>
                <w:rFonts w:ascii="Times New Roman" w:hAnsi="Times New Roman" w:cs="Times New Roman"/>
                <w:sz w:val="24"/>
                <w:szCs w:val="24"/>
              </w:rPr>
            </w:pPr>
            <w:r>
              <w:rPr>
                <w:rFonts w:ascii="Times New Roman" w:hAnsi="Times New Roman" w:cs="Times New Roman"/>
                <w:sz w:val="24"/>
                <w:szCs w:val="24"/>
              </w:rPr>
              <w:t>10.02.</w:t>
            </w:r>
          </w:p>
        </w:tc>
        <w:tc>
          <w:tcPr>
            <w:tcW w:w="0" w:type="auto"/>
            <w:vAlign w:val="center"/>
          </w:tcPr>
          <w:p w:rsidR="00446E47" w:rsidRPr="002A5280" w:rsidRDefault="00446E47" w:rsidP="00DF45ED">
            <w:pPr>
              <w:rPr>
                <w:rFonts w:ascii="Times New Roman" w:hAnsi="Times New Roman" w:cs="Times New Roman"/>
                <w:sz w:val="24"/>
                <w:szCs w:val="24"/>
              </w:rPr>
            </w:pPr>
            <w:r>
              <w:rPr>
                <w:rFonts w:ascii="Times New Roman" w:hAnsi="Times New Roman" w:cs="Times New Roman"/>
                <w:sz w:val="24"/>
                <w:szCs w:val="24"/>
              </w:rPr>
              <w:t>Az oktatási környezet m</w:t>
            </w:r>
            <w:r w:rsidRPr="002A5280">
              <w:rPr>
                <w:rFonts w:ascii="Times New Roman" w:hAnsi="Times New Roman" w:cs="Times New Roman"/>
                <w:sz w:val="24"/>
                <w:szCs w:val="24"/>
              </w:rPr>
              <w:t>anifeszt</w:t>
            </w:r>
            <w:r>
              <w:rPr>
                <w:rFonts w:ascii="Times New Roman" w:hAnsi="Times New Roman" w:cs="Times New Roman"/>
                <w:sz w:val="24"/>
                <w:szCs w:val="24"/>
              </w:rPr>
              <w:t xml:space="preserve"> és látens funkciói. 2. pár elméleti bemutatója</w:t>
            </w:r>
          </w:p>
        </w:tc>
      </w:tr>
      <w:tr w:rsidR="00446E47" w:rsidTr="00DF45ED">
        <w:trPr>
          <w:trHeight w:hRule="exact" w:val="340"/>
          <w:jc w:val="center"/>
        </w:trPr>
        <w:tc>
          <w:tcPr>
            <w:tcW w:w="0" w:type="auto"/>
            <w:vAlign w:val="center"/>
          </w:tcPr>
          <w:p w:rsidR="00446E47" w:rsidRDefault="00446E47" w:rsidP="00DF45ED">
            <w:pPr>
              <w:rPr>
                <w:rFonts w:ascii="Times New Roman" w:hAnsi="Times New Roman" w:cs="Times New Roman"/>
                <w:sz w:val="24"/>
                <w:szCs w:val="24"/>
              </w:rPr>
            </w:pPr>
            <w:r>
              <w:rPr>
                <w:rFonts w:ascii="Times New Roman" w:hAnsi="Times New Roman" w:cs="Times New Roman"/>
                <w:sz w:val="24"/>
                <w:szCs w:val="24"/>
              </w:rPr>
              <w:t>10.09.</w:t>
            </w:r>
          </w:p>
        </w:tc>
        <w:tc>
          <w:tcPr>
            <w:tcW w:w="0" w:type="auto"/>
            <w:vAlign w:val="center"/>
          </w:tcPr>
          <w:p w:rsidR="00446E47" w:rsidRPr="002A5280" w:rsidRDefault="00446E47" w:rsidP="00DF45ED">
            <w:pPr>
              <w:rPr>
                <w:rFonts w:ascii="Times New Roman" w:hAnsi="Times New Roman" w:cs="Times New Roman"/>
                <w:sz w:val="24"/>
                <w:szCs w:val="24"/>
              </w:rPr>
            </w:pPr>
            <w:r w:rsidRPr="002A5280">
              <w:rPr>
                <w:rFonts w:ascii="Times New Roman" w:hAnsi="Times New Roman" w:cs="Times New Roman"/>
                <w:sz w:val="24"/>
                <w:szCs w:val="24"/>
              </w:rPr>
              <w:t>Pedagógusszerep. Az eredményes pedagógus.</w:t>
            </w:r>
            <w:r>
              <w:rPr>
                <w:rFonts w:ascii="Times New Roman" w:hAnsi="Times New Roman" w:cs="Times New Roman"/>
                <w:sz w:val="24"/>
                <w:szCs w:val="24"/>
              </w:rPr>
              <w:t xml:space="preserve"> 3. pár elméleti bemutatója</w:t>
            </w:r>
          </w:p>
        </w:tc>
      </w:tr>
      <w:tr w:rsidR="00446E47" w:rsidTr="00DF45ED">
        <w:trPr>
          <w:trHeight w:hRule="exact" w:val="340"/>
          <w:jc w:val="center"/>
        </w:trPr>
        <w:tc>
          <w:tcPr>
            <w:tcW w:w="0" w:type="auto"/>
            <w:vAlign w:val="center"/>
          </w:tcPr>
          <w:p w:rsidR="00446E47" w:rsidRDefault="00446E47" w:rsidP="00DF45ED">
            <w:pPr>
              <w:rPr>
                <w:rFonts w:ascii="Times New Roman" w:hAnsi="Times New Roman" w:cs="Times New Roman"/>
                <w:sz w:val="24"/>
                <w:szCs w:val="24"/>
              </w:rPr>
            </w:pPr>
            <w:r>
              <w:rPr>
                <w:rFonts w:ascii="Times New Roman" w:hAnsi="Times New Roman" w:cs="Times New Roman"/>
                <w:sz w:val="24"/>
                <w:szCs w:val="24"/>
              </w:rPr>
              <w:t>10.16.</w:t>
            </w:r>
          </w:p>
        </w:tc>
        <w:tc>
          <w:tcPr>
            <w:tcW w:w="0" w:type="auto"/>
            <w:vAlign w:val="center"/>
          </w:tcPr>
          <w:p w:rsidR="00446E47" w:rsidRDefault="00446E47" w:rsidP="00DF45ED">
            <w:pPr>
              <w:rPr>
                <w:rFonts w:ascii="Times New Roman" w:hAnsi="Times New Roman" w:cs="Times New Roman"/>
                <w:sz w:val="24"/>
                <w:szCs w:val="24"/>
              </w:rPr>
            </w:pPr>
            <w:r w:rsidRPr="002A5280">
              <w:rPr>
                <w:rFonts w:ascii="Times New Roman" w:hAnsi="Times New Roman" w:cs="Times New Roman"/>
                <w:sz w:val="24"/>
                <w:szCs w:val="24"/>
              </w:rPr>
              <w:t>Zárthelyi dolgozat</w:t>
            </w:r>
            <w:r>
              <w:rPr>
                <w:rFonts w:ascii="Times New Roman" w:hAnsi="Times New Roman" w:cs="Times New Roman"/>
                <w:sz w:val="24"/>
                <w:szCs w:val="24"/>
              </w:rPr>
              <w:t xml:space="preserve"> 1 (</w:t>
            </w:r>
            <w:r w:rsidRPr="002A5280">
              <w:rPr>
                <w:rFonts w:ascii="Times New Roman" w:hAnsi="Times New Roman" w:cs="Times New Roman"/>
                <w:sz w:val="24"/>
                <w:szCs w:val="24"/>
              </w:rPr>
              <w:t>Iskolai élményvilágok</w:t>
            </w:r>
            <w:r>
              <w:rPr>
                <w:rFonts w:ascii="Times New Roman" w:hAnsi="Times New Roman" w:cs="Times New Roman"/>
                <w:sz w:val="24"/>
                <w:szCs w:val="24"/>
              </w:rPr>
              <w:t xml:space="preserve"> c. könyv)</w:t>
            </w:r>
          </w:p>
        </w:tc>
      </w:tr>
      <w:tr w:rsidR="00446E47" w:rsidTr="00DF45ED">
        <w:trPr>
          <w:trHeight w:hRule="exact" w:val="340"/>
          <w:jc w:val="center"/>
        </w:trPr>
        <w:tc>
          <w:tcPr>
            <w:tcW w:w="0" w:type="auto"/>
            <w:vAlign w:val="center"/>
          </w:tcPr>
          <w:p w:rsidR="00446E47" w:rsidRDefault="00446E47" w:rsidP="00DF45ED">
            <w:pPr>
              <w:rPr>
                <w:rFonts w:ascii="Times New Roman" w:hAnsi="Times New Roman" w:cs="Times New Roman"/>
                <w:sz w:val="24"/>
                <w:szCs w:val="24"/>
              </w:rPr>
            </w:pPr>
            <w:r>
              <w:rPr>
                <w:rFonts w:ascii="Times New Roman" w:hAnsi="Times New Roman" w:cs="Times New Roman"/>
                <w:sz w:val="24"/>
                <w:szCs w:val="24"/>
              </w:rPr>
              <w:t>10.30.</w:t>
            </w:r>
          </w:p>
        </w:tc>
        <w:tc>
          <w:tcPr>
            <w:tcW w:w="0" w:type="auto"/>
            <w:vAlign w:val="center"/>
          </w:tcPr>
          <w:p w:rsidR="00446E47" w:rsidRDefault="00446E47" w:rsidP="00DF45ED">
            <w:pPr>
              <w:rPr>
                <w:rFonts w:ascii="Times New Roman" w:hAnsi="Times New Roman" w:cs="Times New Roman"/>
                <w:sz w:val="24"/>
                <w:szCs w:val="24"/>
              </w:rPr>
            </w:pPr>
            <w:r>
              <w:rPr>
                <w:rFonts w:ascii="Times New Roman" w:hAnsi="Times New Roman" w:cs="Times New Roman"/>
                <w:sz w:val="24"/>
                <w:szCs w:val="24"/>
              </w:rPr>
              <w:t>Konzultációs hét</w:t>
            </w:r>
          </w:p>
        </w:tc>
      </w:tr>
      <w:tr w:rsidR="00446E47" w:rsidTr="00DF45ED">
        <w:trPr>
          <w:trHeight w:hRule="exact" w:val="340"/>
          <w:jc w:val="center"/>
        </w:trPr>
        <w:tc>
          <w:tcPr>
            <w:tcW w:w="0" w:type="auto"/>
            <w:vAlign w:val="center"/>
          </w:tcPr>
          <w:p w:rsidR="00446E47" w:rsidRDefault="00446E47" w:rsidP="00DF45ED">
            <w:pPr>
              <w:rPr>
                <w:rFonts w:ascii="Times New Roman" w:hAnsi="Times New Roman" w:cs="Times New Roman"/>
                <w:sz w:val="24"/>
                <w:szCs w:val="24"/>
              </w:rPr>
            </w:pPr>
            <w:r>
              <w:rPr>
                <w:rFonts w:ascii="Times New Roman" w:hAnsi="Times New Roman" w:cs="Times New Roman"/>
                <w:sz w:val="24"/>
                <w:szCs w:val="24"/>
              </w:rPr>
              <w:t>11.06.</w:t>
            </w:r>
          </w:p>
        </w:tc>
        <w:tc>
          <w:tcPr>
            <w:tcW w:w="0" w:type="auto"/>
            <w:vAlign w:val="center"/>
          </w:tcPr>
          <w:p w:rsidR="00446E47" w:rsidRPr="002A5280" w:rsidRDefault="00446E47" w:rsidP="00DF45ED">
            <w:pPr>
              <w:rPr>
                <w:rFonts w:ascii="Times New Roman" w:hAnsi="Times New Roman" w:cs="Times New Roman"/>
                <w:sz w:val="24"/>
                <w:szCs w:val="24"/>
              </w:rPr>
            </w:pPr>
            <w:r w:rsidRPr="002A5280">
              <w:rPr>
                <w:rFonts w:ascii="Times New Roman" w:hAnsi="Times New Roman" w:cs="Times New Roman"/>
                <w:sz w:val="24"/>
                <w:szCs w:val="24"/>
              </w:rPr>
              <w:t>Zárthelyi dolgozat</w:t>
            </w:r>
            <w:r>
              <w:rPr>
                <w:rFonts w:ascii="Times New Roman" w:hAnsi="Times New Roman" w:cs="Times New Roman"/>
                <w:sz w:val="24"/>
                <w:szCs w:val="24"/>
              </w:rPr>
              <w:t xml:space="preserve"> 2 (Pszichológia a tanításban c. könyv)</w:t>
            </w:r>
          </w:p>
        </w:tc>
      </w:tr>
      <w:tr w:rsidR="00446E47" w:rsidTr="00DF45ED">
        <w:trPr>
          <w:trHeight w:hRule="exact" w:val="340"/>
          <w:jc w:val="center"/>
        </w:trPr>
        <w:tc>
          <w:tcPr>
            <w:tcW w:w="0" w:type="auto"/>
            <w:vAlign w:val="center"/>
          </w:tcPr>
          <w:p w:rsidR="00446E47" w:rsidRDefault="00446E47" w:rsidP="00DF45ED">
            <w:pPr>
              <w:rPr>
                <w:rFonts w:ascii="Times New Roman" w:hAnsi="Times New Roman" w:cs="Times New Roman"/>
                <w:sz w:val="24"/>
                <w:szCs w:val="24"/>
              </w:rPr>
            </w:pPr>
            <w:r>
              <w:rPr>
                <w:rFonts w:ascii="Times New Roman" w:hAnsi="Times New Roman" w:cs="Times New Roman"/>
                <w:sz w:val="24"/>
                <w:szCs w:val="24"/>
              </w:rPr>
              <w:t>11.13.</w:t>
            </w:r>
          </w:p>
        </w:tc>
        <w:tc>
          <w:tcPr>
            <w:tcW w:w="0" w:type="auto"/>
            <w:vAlign w:val="center"/>
          </w:tcPr>
          <w:p w:rsidR="00446E47" w:rsidRPr="002A5280" w:rsidRDefault="00446E47" w:rsidP="00DF45ED">
            <w:pPr>
              <w:rPr>
                <w:rFonts w:ascii="Times New Roman" w:hAnsi="Times New Roman" w:cs="Times New Roman"/>
                <w:sz w:val="24"/>
                <w:szCs w:val="24"/>
              </w:rPr>
            </w:pPr>
            <w:r>
              <w:rPr>
                <w:rFonts w:ascii="Times New Roman" w:hAnsi="Times New Roman" w:cs="Times New Roman"/>
                <w:sz w:val="24"/>
                <w:szCs w:val="24"/>
              </w:rPr>
              <w:t>1. pár elődása</w:t>
            </w:r>
          </w:p>
        </w:tc>
      </w:tr>
      <w:tr w:rsidR="00446E47" w:rsidTr="00DF45ED">
        <w:trPr>
          <w:trHeight w:hRule="exact" w:val="340"/>
          <w:jc w:val="center"/>
        </w:trPr>
        <w:tc>
          <w:tcPr>
            <w:tcW w:w="0" w:type="auto"/>
            <w:vAlign w:val="center"/>
          </w:tcPr>
          <w:p w:rsidR="00446E47" w:rsidRDefault="00446E47" w:rsidP="00DF45ED">
            <w:pPr>
              <w:rPr>
                <w:rFonts w:ascii="Times New Roman" w:hAnsi="Times New Roman" w:cs="Times New Roman"/>
                <w:sz w:val="24"/>
                <w:szCs w:val="24"/>
              </w:rPr>
            </w:pPr>
            <w:r>
              <w:rPr>
                <w:rFonts w:ascii="Times New Roman" w:hAnsi="Times New Roman" w:cs="Times New Roman"/>
                <w:sz w:val="24"/>
                <w:szCs w:val="24"/>
              </w:rPr>
              <w:t>11.20.</w:t>
            </w:r>
          </w:p>
        </w:tc>
        <w:tc>
          <w:tcPr>
            <w:tcW w:w="0" w:type="auto"/>
            <w:vAlign w:val="center"/>
          </w:tcPr>
          <w:p w:rsidR="00446E47" w:rsidRPr="002A5280" w:rsidRDefault="00446E47" w:rsidP="00DF45ED">
            <w:pPr>
              <w:rPr>
                <w:rFonts w:ascii="Times New Roman" w:hAnsi="Times New Roman" w:cs="Times New Roman"/>
                <w:sz w:val="24"/>
                <w:szCs w:val="24"/>
              </w:rPr>
            </w:pPr>
            <w:r>
              <w:rPr>
                <w:rFonts w:ascii="Times New Roman" w:hAnsi="Times New Roman" w:cs="Times New Roman"/>
                <w:sz w:val="24"/>
                <w:szCs w:val="24"/>
              </w:rPr>
              <w:t>2. pár elődása</w:t>
            </w:r>
          </w:p>
        </w:tc>
      </w:tr>
      <w:tr w:rsidR="00446E47" w:rsidTr="00DF45ED">
        <w:trPr>
          <w:trHeight w:hRule="exact" w:val="340"/>
          <w:jc w:val="center"/>
        </w:trPr>
        <w:tc>
          <w:tcPr>
            <w:tcW w:w="0" w:type="auto"/>
            <w:vAlign w:val="center"/>
          </w:tcPr>
          <w:p w:rsidR="00446E47" w:rsidRDefault="00446E47" w:rsidP="00DF45ED">
            <w:pPr>
              <w:rPr>
                <w:rFonts w:ascii="Times New Roman" w:hAnsi="Times New Roman" w:cs="Times New Roman"/>
                <w:sz w:val="24"/>
                <w:szCs w:val="24"/>
              </w:rPr>
            </w:pPr>
            <w:r>
              <w:rPr>
                <w:rFonts w:ascii="Times New Roman" w:hAnsi="Times New Roman" w:cs="Times New Roman"/>
                <w:sz w:val="24"/>
                <w:szCs w:val="24"/>
              </w:rPr>
              <w:t>11.27.</w:t>
            </w:r>
          </w:p>
        </w:tc>
        <w:tc>
          <w:tcPr>
            <w:tcW w:w="0" w:type="auto"/>
            <w:vAlign w:val="center"/>
          </w:tcPr>
          <w:p w:rsidR="00446E47" w:rsidRPr="002A5280" w:rsidRDefault="00446E47" w:rsidP="00DF45ED">
            <w:pPr>
              <w:rPr>
                <w:rFonts w:ascii="Times New Roman" w:hAnsi="Times New Roman" w:cs="Times New Roman"/>
                <w:sz w:val="24"/>
                <w:szCs w:val="24"/>
              </w:rPr>
            </w:pPr>
            <w:r>
              <w:rPr>
                <w:rFonts w:ascii="Times New Roman" w:hAnsi="Times New Roman" w:cs="Times New Roman"/>
                <w:sz w:val="24"/>
                <w:szCs w:val="24"/>
              </w:rPr>
              <w:t>3. pár elődása</w:t>
            </w:r>
          </w:p>
        </w:tc>
      </w:tr>
      <w:tr w:rsidR="00446E47" w:rsidTr="00DF45ED">
        <w:trPr>
          <w:trHeight w:hRule="exact" w:val="340"/>
          <w:jc w:val="center"/>
        </w:trPr>
        <w:tc>
          <w:tcPr>
            <w:tcW w:w="0" w:type="auto"/>
            <w:vAlign w:val="center"/>
          </w:tcPr>
          <w:p w:rsidR="00446E47" w:rsidRDefault="00446E47" w:rsidP="00DF45ED">
            <w:pPr>
              <w:rPr>
                <w:rFonts w:ascii="Times New Roman" w:hAnsi="Times New Roman" w:cs="Times New Roman"/>
                <w:sz w:val="24"/>
                <w:szCs w:val="24"/>
              </w:rPr>
            </w:pPr>
            <w:r>
              <w:rPr>
                <w:rFonts w:ascii="Times New Roman" w:hAnsi="Times New Roman" w:cs="Times New Roman"/>
                <w:sz w:val="24"/>
                <w:szCs w:val="24"/>
              </w:rPr>
              <w:t>12.04.</w:t>
            </w:r>
          </w:p>
        </w:tc>
        <w:tc>
          <w:tcPr>
            <w:tcW w:w="0" w:type="auto"/>
            <w:vAlign w:val="center"/>
          </w:tcPr>
          <w:p w:rsidR="00446E47" w:rsidRPr="002A5280" w:rsidRDefault="00446E47" w:rsidP="00DF45ED">
            <w:pPr>
              <w:rPr>
                <w:rFonts w:ascii="Times New Roman" w:hAnsi="Times New Roman" w:cs="Times New Roman"/>
                <w:sz w:val="24"/>
                <w:szCs w:val="24"/>
              </w:rPr>
            </w:pPr>
            <w:r>
              <w:rPr>
                <w:rFonts w:ascii="Times New Roman" w:hAnsi="Times New Roman" w:cs="Times New Roman"/>
                <w:sz w:val="24"/>
                <w:szCs w:val="24"/>
              </w:rPr>
              <w:t>Új kihívások az oktatás világában</w:t>
            </w:r>
          </w:p>
        </w:tc>
      </w:tr>
      <w:tr w:rsidR="00446E47" w:rsidTr="00DF45ED">
        <w:trPr>
          <w:trHeight w:hRule="exact" w:val="340"/>
          <w:jc w:val="center"/>
        </w:trPr>
        <w:tc>
          <w:tcPr>
            <w:tcW w:w="0" w:type="auto"/>
            <w:vAlign w:val="center"/>
          </w:tcPr>
          <w:p w:rsidR="00446E47" w:rsidRDefault="00446E47" w:rsidP="00DF45ED">
            <w:pPr>
              <w:rPr>
                <w:rFonts w:ascii="Times New Roman" w:hAnsi="Times New Roman" w:cs="Times New Roman"/>
                <w:sz w:val="24"/>
                <w:szCs w:val="24"/>
              </w:rPr>
            </w:pPr>
            <w:r>
              <w:rPr>
                <w:rFonts w:ascii="Times New Roman" w:hAnsi="Times New Roman" w:cs="Times New Roman"/>
                <w:sz w:val="24"/>
                <w:szCs w:val="24"/>
              </w:rPr>
              <w:t>12.11.</w:t>
            </w:r>
          </w:p>
        </w:tc>
        <w:tc>
          <w:tcPr>
            <w:tcW w:w="0" w:type="auto"/>
            <w:vAlign w:val="center"/>
          </w:tcPr>
          <w:p w:rsidR="00446E47" w:rsidRPr="002A5280" w:rsidRDefault="00446E47" w:rsidP="00DF45ED">
            <w:pPr>
              <w:rPr>
                <w:rFonts w:ascii="Times New Roman" w:hAnsi="Times New Roman" w:cs="Times New Roman"/>
                <w:sz w:val="24"/>
                <w:szCs w:val="24"/>
              </w:rPr>
            </w:pPr>
            <w:r>
              <w:rPr>
                <w:rFonts w:ascii="Times New Roman" w:hAnsi="Times New Roman" w:cs="Times New Roman"/>
                <w:sz w:val="24"/>
                <w:szCs w:val="24"/>
              </w:rPr>
              <w:t>Félévzárás</w:t>
            </w:r>
          </w:p>
        </w:tc>
      </w:tr>
    </w:tbl>
    <w:p w:rsidR="00446E47" w:rsidRDefault="00446E47" w:rsidP="00446E47">
      <w:pPr>
        <w:rPr>
          <w:b/>
        </w:rPr>
      </w:pPr>
    </w:p>
    <w:p w:rsidR="00446E47" w:rsidRDefault="00446E47" w:rsidP="00446E47">
      <w:pPr>
        <w:rPr>
          <w:b/>
        </w:rPr>
      </w:pPr>
      <w:r>
        <w:rPr>
          <w:b/>
        </w:rPr>
        <w:t>A kurzus célja</w:t>
      </w:r>
    </w:p>
    <w:p w:rsidR="00446E47" w:rsidRDefault="00446E47" w:rsidP="00446E47">
      <w:pPr>
        <w:rPr>
          <w:b/>
        </w:rPr>
      </w:pPr>
    </w:p>
    <w:p w:rsidR="00446E47" w:rsidRDefault="00446E47" w:rsidP="00446E47">
      <w:pPr>
        <w:jc w:val="both"/>
      </w:pPr>
      <w:r>
        <w:t xml:space="preserve">A tárgy </w:t>
      </w:r>
      <w:r w:rsidR="0042130D">
        <w:t>célja</w:t>
      </w:r>
      <w:r>
        <w:t xml:space="preserve"> a hallgatók szakmai érzékenységének fejlesztése az intézményes tanítás–nevelés–képzés emberi és dologi tényezőkből szerveződő közege iránt. Az iskolai alaptevékenységek (tanítás és tanulás) relevanciája az egyén számára főként az értékelés aktusában tárul föl, ezért célunk, hogy fejlesszük a hallgatóknak az értékelési aktusokban megnyilvánuló pedagógiai kultúráját. Módszertanilag az oktatási intézmények életvilágának bemutatásában az élményszerűségre törekszünk (irodalmi alkotások iskola– és tanárképei).</w:t>
      </w:r>
    </w:p>
    <w:p w:rsidR="00446E47" w:rsidRDefault="00446E47" w:rsidP="00446E47">
      <w:pPr>
        <w:jc w:val="both"/>
      </w:pPr>
      <w:r>
        <w:t>A hallgatók ismereteinek, tapasztalatainak gazdagítása az oktatási intézmények életvilágáról és a tanári mesterségről annak érdekében, hogy orientáljuk a tanulmányok továbbfolytatásával kapcsolatos elképzeléseiket és hozzájáruljunk az életpályával (tanárság) kapcsol</w:t>
      </w:r>
      <w:r w:rsidR="0042130D">
        <w:t xml:space="preserve">atos döntéseik megalapozásához. </w:t>
      </w:r>
      <w:r>
        <w:t>Pedagógiai felfogásunk elvi alapjának tekintjük élmény és tudás összetartozását, ennek következtében az oktatási intézmények életvilágának bemutatásában is fő törekvésünk az élményszerűség biztosítása.</w:t>
      </w:r>
    </w:p>
    <w:p w:rsidR="00446E47" w:rsidRDefault="00446E47" w:rsidP="00446E47">
      <w:pPr>
        <w:rPr>
          <w:b/>
        </w:rPr>
      </w:pPr>
    </w:p>
    <w:p w:rsidR="00446E47" w:rsidRPr="002A5280" w:rsidRDefault="00446E47" w:rsidP="00446E47">
      <w:pPr>
        <w:rPr>
          <w:b/>
        </w:rPr>
      </w:pPr>
      <w:r w:rsidRPr="002A5280">
        <w:rPr>
          <w:b/>
        </w:rPr>
        <w:t>A félév teljesítésének feltételei:</w:t>
      </w:r>
    </w:p>
    <w:p w:rsidR="00446E47" w:rsidRPr="002A5280" w:rsidRDefault="00446E47" w:rsidP="00446E47">
      <w:pPr>
        <w:numPr>
          <w:ilvl w:val="0"/>
          <w:numId w:val="1"/>
        </w:numPr>
        <w:autoSpaceDE/>
        <w:autoSpaceDN/>
        <w:adjustRightInd/>
      </w:pPr>
      <w:r w:rsidRPr="002A5280">
        <w:t>aktív közreműködés az órákon</w:t>
      </w:r>
      <w:r>
        <w:t xml:space="preserve"> és a páros munkában</w:t>
      </w:r>
    </w:p>
    <w:p w:rsidR="00446E47" w:rsidRDefault="00446E47" w:rsidP="00446E47">
      <w:pPr>
        <w:numPr>
          <w:ilvl w:val="0"/>
          <w:numId w:val="1"/>
        </w:numPr>
        <w:autoSpaceDE/>
        <w:autoSpaceDN/>
        <w:adjustRightInd/>
      </w:pPr>
      <w:r w:rsidRPr="002A5280">
        <w:t>zárthelyi dolgozat</w:t>
      </w:r>
      <w:r>
        <w:t>ok</w:t>
      </w:r>
      <w:r w:rsidRPr="002A5280">
        <w:t xml:space="preserve"> megírása</w:t>
      </w:r>
    </w:p>
    <w:p w:rsidR="00446E47" w:rsidRPr="002A5280" w:rsidRDefault="00446E47" w:rsidP="00446E47">
      <w:pPr>
        <w:numPr>
          <w:ilvl w:val="0"/>
          <w:numId w:val="1"/>
        </w:numPr>
        <w:autoSpaceDE/>
        <w:autoSpaceDN/>
        <w:adjustRightInd/>
      </w:pPr>
      <w:r w:rsidRPr="002A5280">
        <w:t>a szemináriumi órákon való részvétel (maximum három hiányzás</w:t>
      </w:r>
      <w:r>
        <w:t>, igazolásokat is bel</w:t>
      </w:r>
      <w:r w:rsidRPr="002A5280">
        <w:t>eértve)</w:t>
      </w:r>
    </w:p>
    <w:p w:rsidR="00446E47" w:rsidRDefault="00446E47" w:rsidP="00446E47">
      <w:pPr>
        <w:ind w:left="720"/>
      </w:pPr>
    </w:p>
    <w:p w:rsidR="0042130D" w:rsidRPr="002A5280" w:rsidRDefault="0042130D" w:rsidP="00446E47">
      <w:pPr>
        <w:ind w:left="720"/>
      </w:pPr>
    </w:p>
    <w:p w:rsidR="0042130D" w:rsidRDefault="0042130D" w:rsidP="00446E47">
      <w:pPr>
        <w:rPr>
          <w:b/>
        </w:rPr>
      </w:pPr>
    </w:p>
    <w:p w:rsidR="00446E47" w:rsidRPr="002A5280" w:rsidRDefault="00446E47" w:rsidP="00446E47">
      <w:pPr>
        <w:rPr>
          <w:b/>
        </w:rPr>
      </w:pPr>
      <w:r w:rsidRPr="002A5280">
        <w:rPr>
          <w:b/>
        </w:rPr>
        <w:t>A páros munka menete, a kiadott téma feldolgozása:</w:t>
      </w:r>
    </w:p>
    <w:p w:rsidR="00446E47" w:rsidRPr="002A5280" w:rsidRDefault="00446E47" w:rsidP="00446E47">
      <w:pPr>
        <w:numPr>
          <w:ilvl w:val="0"/>
          <w:numId w:val="2"/>
        </w:numPr>
        <w:autoSpaceDE/>
        <w:autoSpaceDN/>
        <w:adjustRightInd/>
      </w:pPr>
      <w:r w:rsidRPr="002A5280">
        <w:lastRenderedPageBreak/>
        <w:t>A bevezető szövegrész értelmezése (ld. kiadott irodalom)</w:t>
      </w:r>
    </w:p>
    <w:p w:rsidR="00446E47" w:rsidRPr="002A5280" w:rsidRDefault="00446E47" w:rsidP="00446E47">
      <w:pPr>
        <w:numPr>
          <w:ilvl w:val="0"/>
          <w:numId w:val="2"/>
        </w:numPr>
        <w:autoSpaceDE/>
        <w:autoSpaceDN/>
        <w:adjustRightInd/>
      </w:pPr>
      <w:r w:rsidRPr="002A5280">
        <w:t>Kapcsolódó irodalom felkutatása és feldolgozása</w:t>
      </w:r>
    </w:p>
    <w:p w:rsidR="00446E47" w:rsidRPr="002A5280" w:rsidRDefault="00446E47" w:rsidP="00446E47">
      <w:pPr>
        <w:numPr>
          <w:ilvl w:val="0"/>
          <w:numId w:val="2"/>
        </w:numPr>
        <w:autoSpaceDE/>
        <w:autoSpaceDN/>
        <w:adjustRightInd/>
      </w:pPr>
      <w:r w:rsidRPr="002A5280">
        <w:t>Az irodalmi részletek bemutatása</w:t>
      </w:r>
    </w:p>
    <w:p w:rsidR="00446E47" w:rsidRDefault="00446E47" w:rsidP="00446E47">
      <w:pPr>
        <w:numPr>
          <w:ilvl w:val="0"/>
          <w:numId w:val="2"/>
        </w:numPr>
        <w:autoSpaceDE/>
        <w:autoSpaceDN/>
        <w:adjustRightInd/>
      </w:pPr>
      <w:r w:rsidRPr="002A5280">
        <w:t>A témához kapcsolódó kérdések megfogalmazása, feladatok kidolgozása</w:t>
      </w:r>
    </w:p>
    <w:p w:rsidR="00446E47" w:rsidRPr="001362BD" w:rsidRDefault="00446E47" w:rsidP="0042130D">
      <w:pPr>
        <w:autoSpaceDE/>
        <w:autoSpaceDN/>
        <w:adjustRightInd/>
        <w:ind w:left="720"/>
      </w:pPr>
    </w:p>
    <w:p w:rsidR="00446E47" w:rsidRDefault="00446E47" w:rsidP="00446E47">
      <w:pPr>
        <w:rPr>
          <w:b/>
        </w:rPr>
      </w:pPr>
      <w:r>
        <w:rPr>
          <w:b/>
        </w:rPr>
        <w:t>Kötelező i</w:t>
      </w:r>
      <w:r w:rsidRPr="002A5280">
        <w:rPr>
          <w:b/>
        </w:rPr>
        <w:t>rodalom:</w:t>
      </w:r>
    </w:p>
    <w:p w:rsidR="0042130D" w:rsidRPr="002A5280" w:rsidRDefault="0042130D" w:rsidP="00446E47">
      <w:pPr>
        <w:rPr>
          <w:b/>
        </w:rPr>
      </w:pPr>
    </w:p>
    <w:p w:rsidR="00446E47" w:rsidRDefault="00446E47" w:rsidP="00446E47">
      <w:r w:rsidRPr="002A5280">
        <w:t>Szabó László Tamás et al. (szerk.): Iskolai élményvilágok. Bevezetés az oktatás és iskola világába. Debrecen, Bölcsész Konzorcium, 2006.</w:t>
      </w:r>
      <w:r>
        <w:t xml:space="preserve"> (A fejezetek bevezető egységei)</w:t>
      </w:r>
    </w:p>
    <w:p w:rsidR="0042130D" w:rsidRDefault="0042130D" w:rsidP="00446E47">
      <w:bookmarkStart w:id="0" w:name="_GoBack"/>
      <w:bookmarkEnd w:id="0"/>
    </w:p>
    <w:p w:rsidR="00446E47" w:rsidRDefault="00446E47" w:rsidP="00446E47">
      <w:r>
        <w:t>Tóth László: Pszichológia a tanításban. Debrecen, Pedellus, 2007. (4. fejezet Szocializáció 82.-95. oldal)</w:t>
      </w:r>
    </w:p>
    <w:p w:rsidR="0042130D" w:rsidRDefault="0042130D" w:rsidP="00446E47"/>
    <w:p w:rsidR="00446E47" w:rsidRDefault="00446E47" w:rsidP="00446E47">
      <w:pPr>
        <w:rPr>
          <w:b/>
        </w:rPr>
      </w:pPr>
      <w:r w:rsidRPr="002A5280">
        <w:rPr>
          <w:b/>
        </w:rPr>
        <w:t>Ajánlott irodalom:</w:t>
      </w:r>
    </w:p>
    <w:p w:rsidR="0042130D" w:rsidRPr="002A5280" w:rsidRDefault="0042130D" w:rsidP="00446E47">
      <w:pPr>
        <w:rPr>
          <w:b/>
        </w:rPr>
      </w:pPr>
    </w:p>
    <w:p w:rsidR="00446E47" w:rsidRDefault="00446E47" w:rsidP="00446E47">
      <w:r w:rsidRPr="002A5280">
        <w:t>Halász G. – Lannert J.: Jelentés a magyar közoktatásról. 2006. Budapest, OKI, 2006. (vonatkozó fejezetek)</w:t>
      </w:r>
    </w:p>
    <w:p w:rsidR="00446E47" w:rsidRDefault="00446E47" w:rsidP="00446E47">
      <w:r w:rsidRPr="002A5280">
        <w:t>Pedagógiai és hermeneutika. PallasDebrecina 10. Debrecen, 2001.</w:t>
      </w:r>
    </w:p>
    <w:p w:rsidR="00446E47" w:rsidRDefault="00446E47" w:rsidP="00446E47"/>
    <w:p w:rsidR="00446E47" w:rsidRDefault="00446E47" w:rsidP="00446E47"/>
    <w:p w:rsidR="00446E47" w:rsidRPr="002A5280" w:rsidRDefault="00446E47" w:rsidP="00446E47">
      <w:r w:rsidRPr="002A5280">
        <w:t>Debrecen,</w:t>
      </w:r>
      <w:r>
        <w:t xml:space="preserve"> 2018. 09. 10.</w:t>
      </w:r>
      <w:r>
        <w:tab/>
      </w:r>
      <w:r>
        <w:tab/>
      </w:r>
      <w:r>
        <w:tab/>
      </w:r>
      <w:r>
        <w:tab/>
      </w:r>
      <w:r>
        <w:tab/>
      </w:r>
      <w:r>
        <w:tab/>
      </w:r>
      <w:r>
        <w:tab/>
      </w:r>
      <w:r w:rsidRPr="002A5280">
        <w:t>Dr. Engler Ágnes</w:t>
      </w:r>
    </w:p>
    <w:p w:rsidR="00446E47" w:rsidRDefault="00446E47" w:rsidP="00446E47"/>
    <w:p w:rsidR="00446E47" w:rsidRDefault="00446E47" w:rsidP="00446E47"/>
    <w:p w:rsidR="00E3268B" w:rsidRDefault="002E1F7E"/>
    <w:sectPr w:rsidR="00E3268B" w:rsidSect="00225991">
      <w:headerReference w:type="default" r:id="rId7"/>
      <w:pgSz w:w="11906" w:h="16838"/>
      <w:pgMar w:top="1417" w:right="1417" w:bottom="1417" w:left="1417"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F7E" w:rsidRDefault="002E1F7E" w:rsidP="003D0456">
      <w:r>
        <w:separator/>
      </w:r>
    </w:p>
  </w:endnote>
  <w:endnote w:type="continuationSeparator" w:id="1">
    <w:p w:rsidR="002E1F7E" w:rsidRDefault="002E1F7E" w:rsidP="003D045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angkok">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F7E" w:rsidRDefault="002E1F7E" w:rsidP="003D0456">
      <w:r>
        <w:separator/>
      </w:r>
    </w:p>
  </w:footnote>
  <w:footnote w:type="continuationSeparator" w:id="1">
    <w:p w:rsidR="002E1F7E" w:rsidRDefault="002E1F7E" w:rsidP="003D0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CC" w:rsidRDefault="0042130D" w:rsidP="007B4708">
    <w:pPr>
      <w:pStyle w:val="Cm"/>
      <w:jc w:val="left"/>
      <w:rPr>
        <w:rFonts w:ascii="Garamond" w:hAnsi="Garamond" w:cs="Bangkok"/>
      </w:rPr>
    </w:pPr>
    <w:r>
      <w:rPr>
        <w:rFonts w:ascii="Garamond" w:hAnsi="Garamond" w:cs="Bangkok"/>
        <w:noProof/>
      </w:rPr>
      <w:drawing>
        <wp:anchor distT="0" distB="0" distL="114300" distR="114300" simplePos="0" relativeHeight="251659264" behindDoc="0" locked="0" layoutInCell="1" allowOverlap="1">
          <wp:simplePos x="0" y="0"/>
          <wp:positionH relativeFrom="margin">
            <wp:posOffset>4625464</wp:posOffset>
          </wp:positionH>
          <wp:positionV relativeFrom="paragraph">
            <wp:posOffset>-127000</wp:posOffset>
          </wp:positionV>
          <wp:extent cx="1143000" cy="584588"/>
          <wp:effectExtent l="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584588"/>
                  </a:xfrm>
                  <a:prstGeom prst="rect">
                    <a:avLst/>
                  </a:prstGeom>
                  <a:noFill/>
                  <a:ln>
                    <a:noFill/>
                  </a:ln>
                </pic:spPr>
              </pic:pic>
            </a:graphicData>
          </a:graphic>
        </wp:anchor>
      </w:drawing>
    </w:r>
    <w:r w:rsidRPr="007B4708">
      <w:rPr>
        <w:rFonts w:ascii="Garamond" w:hAnsi="Garamond" w:cs="Bangkok"/>
        <w:noProof/>
      </w:rPr>
      <w:drawing>
        <wp:anchor distT="0" distB="0" distL="114300" distR="114300" simplePos="0" relativeHeight="251661312" behindDoc="0" locked="0" layoutInCell="1" allowOverlap="1">
          <wp:simplePos x="0" y="0"/>
          <wp:positionH relativeFrom="column">
            <wp:posOffset>-80645</wp:posOffset>
          </wp:positionH>
          <wp:positionV relativeFrom="paragraph">
            <wp:posOffset>-252095</wp:posOffset>
          </wp:positionV>
          <wp:extent cx="2143125" cy="706755"/>
          <wp:effectExtent l="0" t="0" r="0" b="0"/>
          <wp:wrapTopAndBottom/>
          <wp:docPr id="1" name="Kép 1" descr="C:\Users\fruzsina\Desktop\ud-hun-vilagoshatt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uzsina\Desktop\ud-hun-vilagoshatterre.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706755"/>
                  </a:xfrm>
                  <a:prstGeom prst="rect">
                    <a:avLst/>
                  </a:prstGeom>
                  <a:noFill/>
                  <a:ln>
                    <a:noFill/>
                  </a:ln>
                </pic:spPr>
              </pic:pic>
            </a:graphicData>
          </a:graphic>
        </wp:anchor>
      </w:drawing>
    </w:r>
  </w:p>
  <w:p w:rsidR="007523CC" w:rsidRPr="007B4708" w:rsidRDefault="0042130D" w:rsidP="007B4708">
    <w:pPr>
      <w:pStyle w:val="Cm"/>
      <w:spacing w:line="360" w:lineRule="auto"/>
      <w:ind w:firstLine="567"/>
      <w:rPr>
        <w:b/>
        <w:caps/>
        <w:smallCaps w:val="0"/>
        <w:sz w:val="24"/>
        <w:szCs w:val="24"/>
      </w:rPr>
    </w:pPr>
    <w:r w:rsidRPr="007B4708">
      <w:rPr>
        <w:b/>
        <w:caps/>
        <w:smallCaps w:val="0"/>
        <w:sz w:val="24"/>
        <w:szCs w:val="24"/>
      </w:rPr>
      <w:t>debreceni egyetem</w:t>
    </w:r>
  </w:p>
  <w:p w:rsidR="007523CC" w:rsidRPr="007B4708" w:rsidRDefault="0042130D" w:rsidP="007B4708">
    <w:pPr>
      <w:pStyle w:val="Cm"/>
      <w:spacing w:line="360" w:lineRule="auto"/>
      <w:ind w:firstLine="567"/>
      <w:rPr>
        <w:b/>
        <w:sz w:val="24"/>
        <w:szCs w:val="24"/>
      </w:rPr>
    </w:pPr>
    <w:r w:rsidRPr="007B4708">
      <w:rPr>
        <w:b/>
        <w:caps/>
        <w:smallCaps w:val="0"/>
        <w:sz w:val="24"/>
        <w:szCs w:val="24"/>
      </w:rPr>
      <w:t>n</w:t>
    </w:r>
    <w:r w:rsidRPr="007B4708">
      <w:rPr>
        <w:b/>
        <w:sz w:val="24"/>
        <w:szCs w:val="24"/>
      </w:rPr>
      <w:t>evelés-és Művelődéstudományi</w:t>
    </w:r>
    <w:r w:rsidRPr="007B4708">
      <w:rPr>
        <w:b/>
        <w:caps/>
        <w:smallCaps w:val="0"/>
        <w:sz w:val="24"/>
        <w:szCs w:val="24"/>
      </w:rPr>
      <w:t>i</w:t>
    </w:r>
    <w:r w:rsidRPr="007B4708">
      <w:rPr>
        <w:b/>
        <w:sz w:val="24"/>
        <w:szCs w:val="24"/>
      </w:rPr>
      <w:t>ntézet</w:t>
    </w:r>
  </w:p>
  <w:p w:rsidR="007B4708" w:rsidRPr="007B4708" w:rsidRDefault="0042130D" w:rsidP="007B4708">
    <w:pPr>
      <w:pStyle w:val="Cm"/>
      <w:ind w:firstLine="567"/>
      <w:rPr>
        <w:smallCaps w:val="0"/>
        <w:sz w:val="24"/>
        <w:szCs w:val="24"/>
      </w:rPr>
    </w:pPr>
    <w:r>
      <w:rPr>
        <w:smallCaps w:val="0"/>
        <w:sz w:val="24"/>
        <w:szCs w:val="24"/>
      </w:rPr>
      <w:t>H-4032 Debrecen, Egyetem tér 1.</w:t>
    </w:r>
  </w:p>
  <w:p w:rsidR="007523CC" w:rsidRPr="007B4708" w:rsidRDefault="0042130D" w:rsidP="007B4708">
    <w:pPr>
      <w:pStyle w:val="Cm"/>
      <w:ind w:firstLine="567"/>
      <w:rPr>
        <w:smallCaps w:val="0"/>
        <w:sz w:val="24"/>
        <w:szCs w:val="24"/>
      </w:rPr>
    </w:pPr>
    <w:r w:rsidRPr="007B4708">
      <w:rPr>
        <w:smallCaps w:val="0"/>
        <w:sz w:val="24"/>
        <w:szCs w:val="24"/>
      </w:rPr>
      <w:t>Levelezési cím: 4002 Debrecen, Pf. 400. Intézeti iroda: +36 (52) 512-922</w:t>
    </w:r>
    <w:r w:rsidR="003D0456">
      <w:rPr>
        <w:smallCaps w:val="0"/>
        <w:noProof/>
        <w:sz w:val="24"/>
        <w:szCs w:val="24"/>
      </w:rPr>
      <w:pict>
        <v:shapetype id="_x0000_t32" coordsize="21600,21600" o:spt="32" o:oned="t" path="m,l21600,21600e" filled="f">
          <v:path arrowok="t" fillok="f" o:connecttype="none"/>
          <o:lock v:ext="edit" shapetype="t"/>
        </v:shapetype>
        <v:shape id="AutoShape 7" o:spid="_x0000_s2049" type="#_x0000_t32" style="position:absolute;left:0;text-align:left;margin-left:0;margin-top:18.05pt;width:475.5pt;height:0;z-index:251660288;visibility:visible;mso-wrap-distance-top:-8e-5mm;mso-wrap-distance-bottom:-8e-5mm;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" strokecolor="#7b7b7b [2406]" strokeweight="1.7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D79E6"/>
    <w:multiLevelType w:val="hybridMultilevel"/>
    <w:tmpl w:val="6AA4A30E"/>
    <w:lvl w:ilvl="0" w:tplc="EF68E862">
      <w:start w:val="1"/>
      <w:numFmt w:val="bullet"/>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4D284803"/>
    <w:multiLevelType w:val="hybridMultilevel"/>
    <w:tmpl w:val="AD2C22EA"/>
    <w:lvl w:ilvl="0" w:tplc="EF68E862">
      <w:start w:val="1"/>
      <w:numFmt w:val="bullet"/>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rules v:ext="edit">
        <o:r id="V:Rule1" type="connector" idref="#AutoShape 7"/>
      </o:rules>
    </o:shapelayout>
  </w:hdrShapeDefaults>
  <w:footnotePr>
    <w:footnote w:id="0"/>
    <w:footnote w:id="1"/>
  </w:footnotePr>
  <w:endnotePr>
    <w:endnote w:id="0"/>
    <w:endnote w:id="1"/>
  </w:endnotePr>
  <w:compat/>
  <w:rsids>
    <w:rsidRoot w:val="007002DE"/>
    <w:rsid w:val="000B1DAC"/>
    <w:rsid w:val="002E1F7E"/>
    <w:rsid w:val="003D0456"/>
    <w:rsid w:val="0042130D"/>
    <w:rsid w:val="00446E47"/>
    <w:rsid w:val="00590BEC"/>
    <w:rsid w:val="007002DE"/>
    <w:rsid w:val="007845FC"/>
    <w:rsid w:val="00C54527"/>
    <w:rsid w:val="00C81EEF"/>
    <w:rsid w:val="00E3789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02DE"/>
    <w:pPr>
      <w:autoSpaceDE w:val="0"/>
      <w:autoSpaceDN w:val="0"/>
      <w:adjustRightInd w:val="0"/>
      <w:spacing w:after="0"/>
      <w:jc w:val="left"/>
    </w:pPr>
    <w:rPr>
      <w:rFonts w:eastAsia="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7002DE"/>
    <w:pPr>
      <w:jc w:val="center"/>
    </w:pPr>
    <w:rPr>
      <w:smallCaps/>
      <w:sz w:val="34"/>
      <w:szCs w:val="34"/>
    </w:rPr>
  </w:style>
  <w:style w:type="character" w:customStyle="1" w:styleId="CmChar">
    <w:name w:val="Cím Char"/>
    <w:basedOn w:val="Bekezdsalapbettpusa"/>
    <w:link w:val="Cm"/>
    <w:rsid w:val="007002DE"/>
    <w:rPr>
      <w:rFonts w:eastAsia="Times New Roman"/>
      <w:smallCaps/>
      <w:sz w:val="34"/>
      <w:szCs w:val="34"/>
      <w:lang w:eastAsia="hu-HU"/>
    </w:rPr>
  </w:style>
  <w:style w:type="table" w:styleId="Rcsostblzat">
    <w:name w:val="Table Grid"/>
    <w:basedOn w:val="Normltblzat"/>
    <w:rsid w:val="00446E47"/>
    <w:pPr>
      <w:spacing w:after="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340</Words>
  <Characters>2348</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Ágnes</dc:creator>
  <cp:keywords/>
  <dc:description/>
  <cp:lastModifiedBy>Nori</cp:lastModifiedBy>
  <cp:revision>2</cp:revision>
  <cp:lastPrinted>2018-10-19T09:07:00Z</cp:lastPrinted>
  <dcterms:created xsi:type="dcterms:W3CDTF">2018-09-24T13:43:00Z</dcterms:created>
  <dcterms:modified xsi:type="dcterms:W3CDTF">2018-10-19T09:07:00Z</dcterms:modified>
</cp:coreProperties>
</file>