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41" w:rsidRDefault="008A1D41" w:rsidP="00C5751D">
      <w:pPr>
        <w:tabs>
          <w:tab w:val="left" w:pos="5670"/>
        </w:tabs>
        <w:rPr>
          <w:b/>
        </w:rPr>
      </w:pPr>
    </w:p>
    <w:p w:rsidR="00802900" w:rsidRPr="00B44065" w:rsidRDefault="00716E2B" w:rsidP="00C5751D">
      <w:pPr>
        <w:tabs>
          <w:tab w:val="left" w:pos="5670"/>
        </w:tabs>
        <w:rPr>
          <w:b/>
          <w:sz w:val="28"/>
          <w:szCs w:val="28"/>
        </w:rPr>
      </w:pPr>
      <w:r w:rsidRPr="00716E2B">
        <w:rPr>
          <w:b/>
          <w:bCs/>
          <w:sz w:val="28"/>
          <w:szCs w:val="28"/>
        </w:rPr>
        <w:t>A különleges bánásmód pedagógiája</w:t>
      </w:r>
      <w:r w:rsidR="00802900" w:rsidRPr="00B44065">
        <w:rPr>
          <w:b/>
          <w:sz w:val="28"/>
          <w:szCs w:val="28"/>
        </w:rPr>
        <w:tab/>
      </w:r>
      <w:r w:rsidR="00802900" w:rsidRPr="00B44065">
        <w:rPr>
          <w:b/>
          <w:sz w:val="28"/>
          <w:szCs w:val="28"/>
        </w:rPr>
        <w:tab/>
      </w:r>
    </w:p>
    <w:p w:rsidR="00B44065" w:rsidRDefault="00716E2B" w:rsidP="00B44065">
      <w:r w:rsidRPr="00716E2B">
        <w:rPr>
          <w:b/>
          <w:bCs/>
        </w:rPr>
        <w:t>BTTK360OMA_KNK</w:t>
      </w:r>
      <w:r w:rsidR="00B44065" w:rsidRPr="0017762B">
        <w:t xml:space="preserve"> </w:t>
      </w:r>
    </w:p>
    <w:p w:rsidR="00BA2B4E" w:rsidRPr="00BA2B4E" w:rsidRDefault="00710D81" w:rsidP="00B44065">
      <w:pPr>
        <w:rPr>
          <w:b/>
          <w:u w:val="single"/>
        </w:rPr>
      </w:pPr>
      <w:r>
        <w:rPr>
          <w:b/>
          <w:u w:val="single"/>
        </w:rPr>
        <w:t>Kedd</w:t>
      </w:r>
      <w:r w:rsidR="009E4C3B">
        <w:rPr>
          <w:b/>
          <w:u w:val="single"/>
        </w:rPr>
        <w:t xml:space="preserve"> </w:t>
      </w:r>
      <w:r w:rsidR="00716E2B">
        <w:rPr>
          <w:b/>
          <w:u w:val="single"/>
        </w:rPr>
        <w:t>8</w:t>
      </w:r>
      <w:r w:rsidR="009E4C3B">
        <w:rPr>
          <w:b/>
          <w:u w:val="single"/>
        </w:rPr>
        <w:t>:00-</w:t>
      </w:r>
      <w:r w:rsidR="00716E2B">
        <w:rPr>
          <w:b/>
          <w:u w:val="single"/>
        </w:rPr>
        <w:t>9</w:t>
      </w:r>
      <w:r w:rsidR="009E4C3B">
        <w:rPr>
          <w:b/>
          <w:u w:val="single"/>
        </w:rPr>
        <w:t>:3</w:t>
      </w:r>
      <w:r w:rsidR="00BA2B4E" w:rsidRPr="00BA2B4E">
        <w:rPr>
          <w:b/>
          <w:u w:val="single"/>
        </w:rPr>
        <w:t>0</w:t>
      </w:r>
    </w:p>
    <w:p w:rsidR="00B44065" w:rsidRDefault="00B44065" w:rsidP="00B44065">
      <w:pPr>
        <w:rPr>
          <w:b/>
        </w:rPr>
      </w:pPr>
    </w:p>
    <w:p w:rsidR="00B44065" w:rsidRPr="0017762B" w:rsidRDefault="00B44065" w:rsidP="00B44065">
      <w:proofErr w:type="spellStart"/>
      <w:r w:rsidRPr="0017762B">
        <w:rPr>
          <w:b/>
        </w:rPr>
        <w:t>Tanegységzárás</w:t>
      </w:r>
      <w:proofErr w:type="spellEnd"/>
      <w:r w:rsidRPr="0017762B">
        <w:rPr>
          <w:b/>
        </w:rPr>
        <w:t>: </w:t>
      </w:r>
      <w:r w:rsidRPr="0017762B">
        <w:rPr>
          <w:b/>
        </w:rPr>
        <w:tab/>
      </w:r>
      <w:r w:rsidR="00716E2B">
        <w:t>gyakorlat</w:t>
      </w:r>
    </w:p>
    <w:p w:rsidR="00B44065" w:rsidRPr="0017762B" w:rsidRDefault="00B44065" w:rsidP="00B44065">
      <w:r w:rsidRPr="0017762B">
        <w:rPr>
          <w:b/>
        </w:rPr>
        <w:t>A tanegység adatai:</w:t>
      </w:r>
      <w:r w:rsidRPr="0017762B">
        <w:rPr>
          <w:b/>
        </w:rPr>
        <w:tab/>
      </w:r>
      <w:r>
        <w:t>Tavaszi szemeszter</w:t>
      </w:r>
      <w:r w:rsidRPr="0017762B">
        <w:t xml:space="preserve">; 2 óra/hét </w:t>
      </w:r>
      <w:r w:rsidR="00716E2B">
        <w:t>szeminárium</w:t>
      </w:r>
      <w:r w:rsidRPr="0017762B">
        <w:t xml:space="preserve">; </w:t>
      </w:r>
      <w:r w:rsidR="00716E2B">
        <w:t>2</w:t>
      </w:r>
      <w:r w:rsidRPr="0017762B">
        <w:t xml:space="preserve"> kredit</w:t>
      </w:r>
    </w:p>
    <w:p w:rsidR="00B44065" w:rsidRPr="0017762B" w:rsidRDefault="00B44065" w:rsidP="00B44065">
      <w:pPr>
        <w:rPr>
          <w:smallCaps/>
        </w:rPr>
      </w:pPr>
      <w:r w:rsidRPr="0017762B">
        <w:rPr>
          <w:b/>
        </w:rPr>
        <w:t>A képzés neve:</w:t>
      </w:r>
      <w:r w:rsidRPr="0017762B">
        <w:rPr>
          <w:b/>
        </w:rPr>
        <w:tab/>
      </w:r>
      <w:r w:rsidR="00716E2B">
        <w:t>osztatlan tanár</w:t>
      </w:r>
      <w:r w:rsidR="00710D81">
        <w:t>képzés</w:t>
      </w:r>
      <w:r w:rsidRPr="0017762B">
        <w:t xml:space="preserve"> </w:t>
      </w:r>
    </w:p>
    <w:p w:rsidR="00B44065" w:rsidRPr="0017762B" w:rsidRDefault="00B44065" w:rsidP="00B44065">
      <w:r w:rsidRPr="0017762B">
        <w:rPr>
          <w:b/>
        </w:rPr>
        <w:t xml:space="preserve">A tanegység felvételének feltételei: </w:t>
      </w:r>
      <w:r w:rsidR="00710D81">
        <w:t>-</w:t>
      </w:r>
    </w:p>
    <w:p w:rsidR="00B44065" w:rsidRDefault="00B44065" w:rsidP="00B44065">
      <w:pPr>
        <w:spacing w:before="60" w:after="60"/>
        <w:rPr>
          <w:b/>
        </w:rPr>
      </w:pPr>
      <w:r w:rsidRPr="0017762B">
        <w:rPr>
          <w:b/>
        </w:rPr>
        <w:t>A tanegység oktatója:</w:t>
      </w:r>
      <w:r w:rsidRPr="00B44065">
        <w:rPr>
          <w:b/>
        </w:rPr>
        <w:t xml:space="preserve"> 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44065" w:rsidTr="00B44065">
        <w:trPr>
          <w:trHeight w:val="2097"/>
        </w:trPr>
        <w:tc>
          <w:tcPr>
            <w:tcW w:w="9104" w:type="dxa"/>
          </w:tcPr>
          <w:p w:rsidR="00B44065" w:rsidRPr="00B44065" w:rsidRDefault="00810E47" w:rsidP="00B44065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Dr. Kovács – Nagy Klára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i/>
              </w:rPr>
              <w:t>DE BTK Nevelés- és Művelődéstudományi Intézet, Neveléstudományi Tanszék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i/>
              </w:rPr>
              <w:t xml:space="preserve">Egyetemi </w:t>
            </w:r>
            <w:r w:rsidR="00810E47">
              <w:rPr>
                <w:i/>
              </w:rPr>
              <w:t>adjunktus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smallCaps/>
                <w:u w:val="single"/>
              </w:rPr>
              <w:t xml:space="preserve">Elérhetőség </w:t>
            </w:r>
            <w:r w:rsidRPr="00B44065">
              <w:t xml:space="preserve"> </w:t>
            </w:r>
          </w:p>
          <w:p w:rsidR="00B44065" w:rsidRPr="00B44065" w:rsidRDefault="00B44065" w:rsidP="00B44065">
            <w:pPr>
              <w:pStyle w:val="Cmsor1"/>
              <w:jc w:val="both"/>
              <w:outlineLvl w:val="0"/>
              <w:rPr>
                <w:b w:val="0"/>
                <w:szCs w:val="24"/>
              </w:rPr>
            </w:pPr>
            <w:r w:rsidRPr="00B44065">
              <w:rPr>
                <w:b w:val="0"/>
                <w:szCs w:val="24"/>
              </w:rPr>
              <w:t>4032 Debrecen, Egyetem tér 1. 20</w:t>
            </w:r>
            <w:r w:rsidR="00810E47">
              <w:rPr>
                <w:b w:val="0"/>
                <w:szCs w:val="24"/>
              </w:rPr>
              <w:t>2</w:t>
            </w:r>
            <w:r w:rsidRPr="00B44065">
              <w:rPr>
                <w:b w:val="0"/>
                <w:szCs w:val="24"/>
              </w:rPr>
              <w:t xml:space="preserve">.iroda; </w:t>
            </w:r>
            <w:r w:rsidR="00810E47">
              <w:rPr>
                <w:szCs w:val="24"/>
              </w:rPr>
              <w:t>kovacs.klara</w:t>
            </w:r>
            <w:r w:rsidRPr="00B44065">
              <w:rPr>
                <w:szCs w:val="24"/>
              </w:rPr>
              <w:t>@arts.unideb.hu</w:t>
            </w:r>
          </w:p>
          <w:p w:rsidR="00B44065" w:rsidRDefault="00B44065" w:rsidP="00810E47">
            <w:pPr>
              <w:jc w:val="both"/>
              <w:rPr>
                <w:b/>
              </w:rPr>
            </w:pPr>
            <w:r w:rsidRPr="00B44065">
              <w:t xml:space="preserve">Fogadóóra: </w:t>
            </w:r>
            <w:r w:rsidR="00810E47">
              <w:rPr>
                <w:rStyle w:val="object"/>
              </w:rPr>
              <w:t>csütörtök</w:t>
            </w:r>
            <w:r>
              <w:t xml:space="preserve"> 1</w:t>
            </w:r>
            <w:r w:rsidR="00810E47">
              <w:t>1</w:t>
            </w:r>
            <w:r>
              <w:t>.00-</w:t>
            </w:r>
            <w:r w:rsidR="00810E47">
              <w:t>12.00</w:t>
            </w:r>
          </w:p>
        </w:tc>
      </w:tr>
    </w:tbl>
    <w:p w:rsidR="00B44065" w:rsidRDefault="00B44065" w:rsidP="00B44065">
      <w:pPr>
        <w:jc w:val="both"/>
        <w:rPr>
          <w:b/>
          <w:i/>
        </w:rPr>
      </w:pPr>
    </w:p>
    <w:p w:rsidR="00716E2B" w:rsidRPr="00716E2B" w:rsidRDefault="00716E2B" w:rsidP="00716E2B">
      <w:pPr>
        <w:jc w:val="both"/>
      </w:pPr>
      <w:r w:rsidRPr="00716E2B">
        <w:rPr>
          <w:b/>
        </w:rPr>
        <w:t>A kurzus célja</w:t>
      </w:r>
      <w:r w:rsidRPr="00716E2B">
        <w:t xml:space="preserve"> a különleges bánásmódot igénylő tanulók iskolai integrációjának elősegítése a tanár szakos hallgatók inkluzív szemléletének fejlesztésével. A felkészülés kiterjed az integrált oktatás törvényi és intézményi kereteinek és feltételeinek megismerésére, valamint a különleges bánásmódot igénylő tanulói csoportok jellegzetes kognitív működésének megértésére, különös tekintettel az sajátos nevelési igényű és a beilleszkedési, tanulási és magatartás zavarokkal küzdő tanulókra.</w:t>
      </w:r>
    </w:p>
    <w:p w:rsidR="00B44065" w:rsidRPr="008E3661" w:rsidRDefault="00B44065" w:rsidP="00B44065"/>
    <w:p w:rsidR="00B44065" w:rsidRDefault="00B44065" w:rsidP="00B44065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394"/>
      </w:tblGrid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8394" w:type="dxa"/>
          </w:tcPr>
          <w:p w:rsidR="00710D81" w:rsidRPr="00C05ED4" w:rsidRDefault="00710D81" w:rsidP="00BA2B4E">
            <w:pPr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Téma</w:t>
            </w:r>
          </w:p>
        </w:tc>
      </w:tr>
      <w:tr w:rsidR="00710D81" w:rsidRPr="00C05ED4" w:rsidTr="00710D81">
        <w:trPr>
          <w:trHeight w:val="206"/>
        </w:trPr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94" w:type="dxa"/>
          </w:tcPr>
          <w:p w:rsidR="00710D81" w:rsidRPr="00C05ED4" w:rsidRDefault="00405074" w:rsidP="00405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Félévi teendők megbeszélése, tematika ismertetése. </w:t>
            </w:r>
            <w:r w:rsidRPr="0040507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405074">
              <w:rPr>
                <w:sz w:val="22"/>
                <w:szCs w:val="22"/>
              </w:rPr>
              <w:t>különleges bánásmódot igénylő gyermekek</w:t>
            </w:r>
            <w:r>
              <w:rPr>
                <w:sz w:val="22"/>
                <w:szCs w:val="22"/>
              </w:rPr>
              <w:t>: jogi háttér, definiálás, diagnosztikai prot</w:t>
            </w:r>
            <w:r w:rsidR="00501D5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koll</w:t>
            </w:r>
          </w:p>
        </w:tc>
      </w:tr>
      <w:tr w:rsidR="00710D81" w:rsidRPr="00C05ED4" w:rsidTr="00710D81">
        <w:trPr>
          <w:trHeight w:val="324"/>
        </w:trPr>
        <w:tc>
          <w:tcPr>
            <w:tcW w:w="565" w:type="dxa"/>
          </w:tcPr>
          <w:p w:rsidR="00710D81" w:rsidRPr="00C05ED4" w:rsidRDefault="00710D81" w:rsidP="001033C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94" w:type="dxa"/>
          </w:tcPr>
          <w:p w:rsidR="00710D81" w:rsidRPr="00405074" w:rsidRDefault="00405074" w:rsidP="00405074">
            <w:pPr>
              <w:rPr>
                <w:sz w:val="22"/>
                <w:szCs w:val="22"/>
              </w:rPr>
            </w:pPr>
            <w:r w:rsidRPr="00405074">
              <w:rPr>
                <w:sz w:val="22"/>
                <w:szCs w:val="22"/>
              </w:rPr>
              <w:t>Az integrá</w:t>
            </w:r>
            <w:r>
              <w:rPr>
                <w:sz w:val="22"/>
                <w:szCs w:val="22"/>
              </w:rPr>
              <w:t xml:space="preserve">lt és </w:t>
            </w:r>
            <w:proofErr w:type="spellStart"/>
            <w:r>
              <w:rPr>
                <w:sz w:val="22"/>
                <w:szCs w:val="22"/>
              </w:rPr>
              <w:t>szegregált</w:t>
            </w:r>
            <w:proofErr w:type="spellEnd"/>
            <w:r>
              <w:rPr>
                <w:sz w:val="22"/>
                <w:szCs w:val="22"/>
              </w:rPr>
              <w:t xml:space="preserve"> oktatás fogalm</w:t>
            </w:r>
            <w:r w:rsidRPr="00405074">
              <w:rPr>
                <w:sz w:val="22"/>
                <w:szCs w:val="22"/>
              </w:rPr>
              <w:t xml:space="preserve">i háttere, </w:t>
            </w:r>
            <w:r>
              <w:rPr>
                <w:sz w:val="22"/>
                <w:szCs w:val="22"/>
              </w:rPr>
              <w:t>esélyegyenlőség, méltányosság</w:t>
            </w:r>
            <w:r w:rsidRPr="00405074">
              <w:rPr>
                <w:sz w:val="22"/>
                <w:szCs w:val="22"/>
              </w:rPr>
              <w:t xml:space="preserve"> </w:t>
            </w:r>
            <w:proofErr w:type="spellStart"/>
            <w:r w:rsidRPr="00405074">
              <w:rPr>
                <w:sz w:val="22"/>
                <w:szCs w:val="22"/>
              </w:rPr>
              <w:t>inklúzív</w:t>
            </w:r>
            <w:proofErr w:type="spellEnd"/>
            <w:r w:rsidRPr="00405074">
              <w:rPr>
                <w:sz w:val="22"/>
                <w:szCs w:val="22"/>
              </w:rPr>
              <w:t xml:space="preserve"> iskola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501D59" w:rsidP="00405074">
            <w:pPr>
              <w:rPr>
                <w:sz w:val="22"/>
                <w:szCs w:val="22"/>
              </w:rPr>
            </w:pPr>
            <w:r w:rsidRPr="00501D59">
              <w:rPr>
                <w:sz w:val="22"/>
                <w:szCs w:val="22"/>
              </w:rPr>
              <w:t xml:space="preserve">Tanári attitűdök szerepe az iskolai integráció, </w:t>
            </w:r>
            <w:proofErr w:type="spellStart"/>
            <w:r w:rsidRPr="00501D59">
              <w:rPr>
                <w:sz w:val="22"/>
                <w:szCs w:val="22"/>
              </w:rPr>
              <w:t>inklúzió</w:t>
            </w:r>
            <w:proofErr w:type="spellEnd"/>
            <w:r w:rsidRPr="00501D59">
              <w:rPr>
                <w:sz w:val="22"/>
                <w:szCs w:val="22"/>
              </w:rPr>
              <w:t xml:space="preserve"> gyakorlatában, érzékenyítés feladatai az osztályteremben.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501D59" w:rsidP="00405074">
            <w:pPr>
              <w:rPr>
                <w:sz w:val="22"/>
                <w:szCs w:val="22"/>
              </w:rPr>
            </w:pPr>
            <w:r w:rsidRPr="00501D59">
              <w:rPr>
                <w:sz w:val="22"/>
                <w:szCs w:val="22"/>
              </w:rPr>
              <w:t>Különleges bánásmódot igénylő tanulói csoportok megjelenése az iskolákban, diagnózis, egyéni fejlesztés, szolgáltatások, az ellátás feltételei, akadálymentesítéstől a tanulásszervezésig.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405074" w:rsidP="00405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Cigány gyermekek az oktatásban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405074" w:rsidP="00405074">
            <w:pPr>
              <w:rPr>
                <w:sz w:val="22"/>
                <w:szCs w:val="22"/>
              </w:rPr>
            </w:pPr>
            <w:r w:rsidRPr="00405074">
              <w:rPr>
                <w:sz w:val="22"/>
                <w:szCs w:val="22"/>
              </w:rPr>
              <w:t>Sajátos nevelési igényű tanulói csoportok (1), érzékszervi fogyatékosság, látássérült és hallássérült</w:t>
            </w:r>
            <w:r>
              <w:rPr>
                <w:sz w:val="22"/>
                <w:szCs w:val="22"/>
              </w:rPr>
              <w:t>, beszédfogyatékos</w:t>
            </w:r>
            <w:r w:rsidRPr="00405074">
              <w:rPr>
                <w:sz w:val="22"/>
                <w:szCs w:val="22"/>
              </w:rPr>
              <w:t xml:space="preserve"> tanulók a középfokú oktatásban és a felnőttoktatásban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405074" w:rsidP="00405074">
            <w:pPr>
              <w:rPr>
                <w:sz w:val="22"/>
                <w:szCs w:val="22"/>
              </w:rPr>
            </w:pPr>
            <w:r w:rsidRPr="00405074">
              <w:rPr>
                <w:sz w:val="22"/>
                <w:szCs w:val="22"/>
              </w:rPr>
              <w:t>Sajátos nevelési igényű tanulói csoportok (2), halmozottan sérült és mozgássérült gyerekek integrál nevelése, infó-kommunikációs és morális akadálymentesítés.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  <w:r w:rsidRPr="00C05ED4">
              <w:rPr>
                <w:b/>
                <w:sz w:val="22"/>
                <w:szCs w:val="22"/>
                <w:highlight w:val="yellow"/>
              </w:rPr>
              <w:t>8.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710D81" w:rsidP="000E5DA3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  <w:highlight w:val="yellow"/>
              </w:rPr>
            </w:pPr>
            <w:r w:rsidRPr="00C05ED4">
              <w:rPr>
                <w:caps/>
                <w:sz w:val="22"/>
                <w:szCs w:val="22"/>
                <w:highlight w:val="yellow"/>
              </w:rPr>
              <w:t>Konzultációs hét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405074" w:rsidP="00405074">
            <w:pPr>
              <w:rPr>
                <w:sz w:val="22"/>
                <w:szCs w:val="22"/>
              </w:rPr>
            </w:pPr>
            <w:r w:rsidRPr="00405074">
              <w:rPr>
                <w:sz w:val="22"/>
                <w:szCs w:val="22"/>
              </w:rPr>
              <w:t>Sajátos nevelési igényű tanulói csoportok (3), tanulásában akadályozott, értelmi sérült g</w:t>
            </w:r>
            <w:r>
              <w:rPr>
                <w:sz w:val="22"/>
                <w:szCs w:val="22"/>
              </w:rPr>
              <w:t>yerekek speciális szükségletei</w:t>
            </w:r>
            <w:r w:rsidRPr="00405074">
              <w:rPr>
                <w:sz w:val="22"/>
                <w:szCs w:val="22"/>
              </w:rPr>
              <w:t xml:space="preserve">, autizmus spektrum zavar, </w:t>
            </w:r>
            <w:proofErr w:type="spellStart"/>
            <w:r w:rsidRPr="00405074">
              <w:rPr>
                <w:sz w:val="22"/>
                <w:szCs w:val="22"/>
              </w:rPr>
              <w:t>aspergeri</w:t>
            </w:r>
            <w:proofErr w:type="spellEnd"/>
            <w:r w:rsidRPr="00405074">
              <w:rPr>
                <w:sz w:val="22"/>
                <w:szCs w:val="22"/>
              </w:rPr>
              <w:t xml:space="preserve"> autista gyerekek a közoktatásban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716E2B" w:rsidP="00716E2B">
            <w:pPr>
              <w:rPr>
                <w:sz w:val="22"/>
                <w:szCs w:val="22"/>
              </w:rPr>
            </w:pPr>
            <w:r w:rsidRPr="00716E2B">
              <w:rPr>
                <w:sz w:val="22"/>
                <w:szCs w:val="22"/>
              </w:rPr>
              <w:t>Beilleszkedési, tanulási, magatartás zavarok az iskolában, a serdülőkor életkori sajátosságai és a beilleszkedési zavarok összefüggései.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tabs>
                <w:tab w:val="center" w:pos="794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394" w:type="dxa"/>
          </w:tcPr>
          <w:p w:rsidR="00710D81" w:rsidRPr="00D3489D" w:rsidRDefault="00710D81" w:rsidP="002D6A57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  <w:highlight w:val="yellow"/>
              </w:rPr>
            </w:pPr>
            <w:r w:rsidRPr="00D3489D">
              <w:rPr>
                <w:sz w:val="22"/>
                <w:szCs w:val="22"/>
                <w:highlight w:val="yellow"/>
              </w:rPr>
              <w:t>Elmarad!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394" w:type="dxa"/>
          </w:tcPr>
          <w:p w:rsidR="00710D81" w:rsidRPr="00D3489D" w:rsidRDefault="00716E2B" w:rsidP="00716E2B">
            <w:pPr>
              <w:rPr>
                <w:sz w:val="22"/>
                <w:szCs w:val="22"/>
              </w:rPr>
            </w:pPr>
            <w:r w:rsidRPr="00716E2B">
              <w:rPr>
                <w:sz w:val="22"/>
                <w:szCs w:val="22"/>
                <w:highlight w:val="yellow"/>
              </w:rPr>
              <w:t>Munkaszüneti nap!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394" w:type="dxa"/>
          </w:tcPr>
          <w:p w:rsidR="00710D81" w:rsidRPr="00C05ED4" w:rsidRDefault="00716E2B" w:rsidP="00716E2B">
            <w:pPr>
              <w:rPr>
                <w:sz w:val="22"/>
                <w:szCs w:val="22"/>
              </w:rPr>
            </w:pPr>
            <w:r w:rsidRPr="00716E2B">
              <w:rPr>
                <w:sz w:val="22"/>
                <w:szCs w:val="22"/>
              </w:rPr>
              <w:t xml:space="preserve">Tanulási zavarok, diszlexia, diszgráfia, </w:t>
            </w:r>
            <w:proofErr w:type="spellStart"/>
            <w:r w:rsidRPr="00716E2B">
              <w:rPr>
                <w:sz w:val="22"/>
                <w:szCs w:val="22"/>
              </w:rPr>
              <w:t>diszkalkulia</w:t>
            </w:r>
            <w:proofErr w:type="spellEnd"/>
            <w:r w:rsidRPr="00716E2B">
              <w:rPr>
                <w:sz w:val="22"/>
                <w:szCs w:val="22"/>
              </w:rPr>
              <w:t xml:space="preserve"> megelőzése és kezelése integrált keretek között.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394" w:type="dxa"/>
          </w:tcPr>
          <w:p w:rsidR="00710D81" w:rsidRPr="00C05ED4" w:rsidRDefault="00710D81" w:rsidP="00716E2B">
            <w:pPr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 xml:space="preserve">A kurzus zárása, </w:t>
            </w:r>
            <w:r w:rsidR="00716E2B">
              <w:rPr>
                <w:sz w:val="22"/>
                <w:szCs w:val="22"/>
              </w:rPr>
              <w:t xml:space="preserve">a készülő dolgozatok szóbeli bemutatása, </w:t>
            </w:r>
            <w:r w:rsidRPr="00C05ED4">
              <w:rPr>
                <w:sz w:val="22"/>
                <w:szCs w:val="22"/>
              </w:rPr>
              <w:t>a félév értékelése</w:t>
            </w:r>
          </w:p>
        </w:tc>
      </w:tr>
    </w:tbl>
    <w:p w:rsidR="00C05ED4" w:rsidRDefault="00C05ED4" w:rsidP="00B44065">
      <w:pPr>
        <w:rPr>
          <w:b/>
          <w:i/>
        </w:rPr>
      </w:pPr>
    </w:p>
    <w:p w:rsidR="00B44065" w:rsidRPr="00B008BF" w:rsidRDefault="00B44065" w:rsidP="00B44065">
      <w:pPr>
        <w:jc w:val="both"/>
        <w:rPr>
          <w:b/>
        </w:rPr>
      </w:pPr>
    </w:p>
    <w:p w:rsidR="00B44065" w:rsidRPr="003B3A27" w:rsidRDefault="00B44065" w:rsidP="003B3A27">
      <w:pPr>
        <w:jc w:val="both"/>
        <w:rPr>
          <w:b/>
        </w:rPr>
      </w:pPr>
      <w:r w:rsidRPr="00B008BF">
        <w:rPr>
          <w:b/>
        </w:rPr>
        <w:t>A tanegység teljesítésének feltételei:</w:t>
      </w:r>
    </w:p>
    <w:p w:rsidR="002A5CC6" w:rsidRDefault="002A5CC6" w:rsidP="002A5CC6">
      <w:pPr>
        <w:pStyle w:val="Norml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Csoportosan készített kiselőadás egy különleges bánásmódo</w:t>
      </w:r>
      <w:bookmarkStart w:id="0" w:name="_GoBack"/>
      <w:bookmarkEnd w:id="0"/>
      <w:r>
        <w:rPr>
          <w:color w:val="000000"/>
        </w:rPr>
        <w:t>t igénylő csoportról, ami tartalmazza az együttnevelés kritériumait, speciális fejlesztő technikákat, feladatokat</w:t>
      </w:r>
    </w:p>
    <w:p w:rsidR="00C62749" w:rsidRDefault="00501D59" w:rsidP="002A5CC6">
      <w:pPr>
        <w:pStyle w:val="Norml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01D59">
        <w:rPr>
          <w:color w:val="000000"/>
        </w:rPr>
        <w:t xml:space="preserve">8 oldalas esszé írása egy szabadon választott csoportba tartozó különleges bánásmódot igénylő tanuló integrációs tervének az elkészítéséről. A </w:t>
      </w:r>
      <w:proofErr w:type="gramStart"/>
      <w:r w:rsidRPr="00501D59">
        <w:rPr>
          <w:color w:val="000000"/>
        </w:rPr>
        <w:t>munka tervezési</w:t>
      </w:r>
      <w:proofErr w:type="gramEnd"/>
      <w:r w:rsidRPr="00501D59">
        <w:rPr>
          <w:color w:val="000000"/>
        </w:rPr>
        <w:t xml:space="preserve"> jellegű, ami kiterjed a tanuló egyéni szükségleteivel kapcsolatos információk feltérképezésére; az egyéni tanulási folyamat megtervezésének szempontjaira, az osztálytermi munka feltételeire és módszereire. Az esszében megjelennek az integráció és </w:t>
      </w:r>
      <w:proofErr w:type="spellStart"/>
      <w:r w:rsidRPr="00501D59">
        <w:rPr>
          <w:color w:val="000000"/>
        </w:rPr>
        <w:t>inklúzió</w:t>
      </w:r>
      <w:proofErr w:type="spellEnd"/>
      <w:r w:rsidRPr="00501D59">
        <w:rPr>
          <w:color w:val="000000"/>
        </w:rPr>
        <w:t xml:space="preserve"> strukturális vonatkozásai (törvényi, intézményi, osztálytermi és egyéni szakmai keretek), valamint az oktatás nevelés folyamat jellege. Az esszé tükrözi a megoldások lehetőségeinek sokszínűségét, a sikeres integráció feltételeit, a saját szerepvállalás attitűdjeit, érték dimenzióit. A feladat elkészítése hozzásegíti a hallgatót az ismeretek integrálásához, tanári szerepeinek tisztázásához. Képessé válik a folyamatban tudatos döntéshozatalra, valamint a fejlesztésben való aktív együttműködésekre, saját hatékonyságának monitorozására.</w:t>
      </w:r>
    </w:p>
    <w:p w:rsidR="00501D59" w:rsidRDefault="00501D59" w:rsidP="00501D59">
      <w:pPr>
        <w:pStyle w:val="Norml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62749" w:rsidRPr="00C62749" w:rsidRDefault="00C62749" w:rsidP="00C62749">
      <w:pPr>
        <w:spacing w:line="276" w:lineRule="auto"/>
        <w:jc w:val="both"/>
        <w:rPr>
          <w:b/>
        </w:rPr>
      </w:pPr>
      <w:r w:rsidRPr="00C62749">
        <w:rPr>
          <w:b/>
        </w:rPr>
        <w:t>Kötelező irodalom:</w:t>
      </w: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1"/>
          <w:szCs w:val="20"/>
          <w:lang w:eastAsia="zh-CN"/>
        </w:rPr>
      </w:pPr>
      <w:r w:rsidRPr="00501D59">
        <w:rPr>
          <w:color w:val="000000"/>
          <w:kern w:val="1"/>
          <w:lang w:eastAsia="zh-CN"/>
        </w:rPr>
        <w:t>32/2012. (X. 8.) EMMI rendelet a Sajátos nevelési igényű gyermekek óvodai nevelésének irányelve és a Sajátos nevelési igényű tanulók iskolai oktatásának irányelve kiadásáról.</w:t>
      </w: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1"/>
          <w:szCs w:val="20"/>
          <w:lang w:eastAsia="zh-CN"/>
        </w:rPr>
      </w:pPr>
      <w:proofErr w:type="spellStart"/>
      <w:r w:rsidRPr="00501D59">
        <w:rPr>
          <w:color w:val="000000"/>
          <w:kern w:val="1"/>
          <w:lang w:eastAsia="zh-CN"/>
        </w:rPr>
        <w:t>Booth</w:t>
      </w:r>
      <w:proofErr w:type="spellEnd"/>
      <w:r w:rsidRPr="00501D59">
        <w:rPr>
          <w:color w:val="000000"/>
          <w:kern w:val="1"/>
          <w:lang w:eastAsia="zh-CN"/>
        </w:rPr>
        <w:t>, T</w:t>
      </w:r>
      <w:proofErr w:type="gramStart"/>
      <w:r w:rsidRPr="00501D59">
        <w:rPr>
          <w:color w:val="000000"/>
          <w:kern w:val="1"/>
          <w:lang w:eastAsia="zh-CN"/>
        </w:rPr>
        <w:t>.,</w:t>
      </w:r>
      <w:proofErr w:type="gramEnd"/>
      <w:r w:rsidRPr="00501D59">
        <w:rPr>
          <w:color w:val="000000"/>
          <w:kern w:val="1"/>
          <w:lang w:eastAsia="zh-CN"/>
        </w:rPr>
        <w:t xml:space="preserve"> </w:t>
      </w:r>
      <w:proofErr w:type="spellStart"/>
      <w:r w:rsidRPr="00501D59">
        <w:rPr>
          <w:color w:val="000000"/>
          <w:kern w:val="1"/>
          <w:lang w:eastAsia="zh-CN"/>
        </w:rPr>
        <w:t>Ainscow</w:t>
      </w:r>
      <w:proofErr w:type="spellEnd"/>
      <w:r w:rsidRPr="00501D59">
        <w:rPr>
          <w:color w:val="000000"/>
          <w:kern w:val="1"/>
          <w:lang w:eastAsia="zh-CN"/>
        </w:rPr>
        <w:t xml:space="preserve">, M.: </w:t>
      </w:r>
      <w:proofErr w:type="spellStart"/>
      <w:r w:rsidRPr="00501D59">
        <w:rPr>
          <w:color w:val="000000"/>
          <w:kern w:val="1"/>
          <w:lang w:eastAsia="zh-CN"/>
        </w:rPr>
        <w:t>Inklúziós</w:t>
      </w:r>
      <w:proofErr w:type="spellEnd"/>
      <w:r w:rsidRPr="00501D59">
        <w:rPr>
          <w:color w:val="000000"/>
          <w:kern w:val="1"/>
          <w:lang w:eastAsia="zh-CN"/>
        </w:rPr>
        <w:t xml:space="preserve"> index. Útmutató az </w:t>
      </w:r>
      <w:proofErr w:type="spellStart"/>
      <w:r w:rsidRPr="00501D59">
        <w:rPr>
          <w:color w:val="000000"/>
          <w:kern w:val="1"/>
          <w:lang w:eastAsia="zh-CN"/>
        </w:rPr>
        <w:t>inklúzív</w:t>
      </w:r>
      <w:proofErr w:type="spellEnd"/>
      <w:r w:rsidRPr="00501D59">
        <w:rPr>
          <w:color w:val="000000"/>
          <w:kern w:val="1"/>
          <w:lang w:eastAsia="zh-CN"/>
        </w:rPr>
        <w:t xml:space="preserve"> iskolák fejlesztéséhez. Mozgáskorlátozottak Békés Megyei Egyesülete, 2009. ISBN 978-963-06-6901-6</w:t>
      </w: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color w:val="000000"/>
          <w:kern w:val="1"/>
          <w:u w:val="single"/>
          <w:lang w:eastAsia="zh-CN"/>
        </w:rPr>
      </w:pPr>
      <w:r w:rsidRPr="00501D59">
        <w:rPr>
          <w:color w:val="000000"/>
          <w:kern w:val="1"/>
          <w:lang w:eastAsia="zh-CN"/>
        </w:rPr>
        <w:t xml:space="preserve">Györgyi Zoltán, </w:t>
      </w:r>
      <w:proofErr w:type="spellStart"/>
      <w:r w:rsidRPr="00501D59">
        <w:rPr>
          <w:color w:val="000000"/>
          <w:kern w:val="1"/>
          <w:lang w:eastAsia="zh-CN"/>
        </w:rPr>
        <w:t>Kőpatakiné</w:t>
      </w:r>
      <w:proofErr w:type="spellEnd"/>
      <w:r w:rsidRPr="00501D59">
        <w:rPr>
          <w:color w:val="000000"/>
          <w:kern w:val="1"/>
          <w:lang w:eastAsia="zh-CN"/>
        </w:rPr>
        <w:t xml:space="preserve"> Mészáros Mária (2012): Oktatási egyenlőtlenségek és sajátos igények </w:t>
      </w:r>
      <w:hyperlink r:id="rId7" w:history="1">
        <w:r w:rsidRPr="00501D59">
          <w:rPr>
            <w:color w:val="000080"/>
            <w:kern w:val="1"/>
            <w:u w:val="single"/>
            <w:lang w:eastAsia="zh-CN"/>
          </w:rPr>
          <w:t>http://ofi.hu/10-oktatasi-egyenlotlensegek-es-sajatos-igenyek-gyorgyi-zoltan-kopatakine-meszaros-maria</w:t>
        </w:r>
      </w:hyperlink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1"/>
          <w:szCs w:val="20"/>
          <w:lang w:eastAsia="zh-CN"/>
        </w:rPr>
      </w:pPr>
      <w:r w:rsidRPr="00501D59">
        <w:rPr>
          <w:color w:val="000000"/>
          <w:kern w:val="1"/>
          <w:lang w:eastAsia="zh-CN"/>
        </w:rPr>
        <w:t>Tóth László (2015): Sajátos nevelési igényű tanulók fejlesztése Debreceni Egyetemi Kiadó, ISBN 978 963 473 871 810.</w:t>
      </w: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b/>
          <w:color w:val="000000"/>
          <w:kern w:val="1"/>
          <w:lang w:eastAsia="zh-CN"/>
        </w:rPr>
      </w:pP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1"/>
          <w:szCs w:val="20"/>
          <w:lang w:eastAsia="zh-CN"/>
        </w:rPr>
      </w:pPr>
      <w:r w:rsidRPr="00501D59">
        <w:rPr>
          <w:b/>
          <w:color w:val="000000"/>
          <w:kern w:val="1"/>
          <w:lang w:eastAsia="zh-CN"/>
        </w:rPr>
        <w:t>Ajánlott irodalom:</w:t>
      </w: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1"/>
          <w:szCs w:val="20"/>
          <w:lang w:eastAsia="zh-CN"/>
        </w:rPr>
      </w:pPr>
      <w:r w:rsidRPr="00501D59">
        <w:rPr>
          <w:color w:val="000000"/>
          <w:kern w:val="1"/>
          <w:lang w:eastAsia="zh-CN"/>
        </w:rPr>
        <w:t>Andrássy Ildikó: A sajátos nevelési igényről - nemzetközi összehasonlítás. Fejlesztő pedagógia 2007. 2. sz. 50-72. p. ISSN 0866-2495</w:t>
      </w: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Cambria" w:hAnsi="Cambria" w:cs="Cambria"/>
          <w:color w:val="000000"/>
          <w:kern w:val="1"/>
          <w:szCs w:val="20"/>
          <w:lang w:eastAsia="zh-CN"/>
        </w:rPr>
      </w:pPr>
      <w:r w:rsidRPr="00501D59">
        <w:rPr>
          <w:color w:val="000000"/>
          <w:kern w:val="1"/>
          <w:lang w:eastAsia="zh-CN"/>
        </w:rPr>
        <w:t xml:space="preserve"> Dékány Judit–Mohai Katalin (2012)</w:t>
      </w:r>
      <w:proofErr w:type="gramStart"/>
      <w:r w:rsidRPr="00501D59">
        <w:rPr>
          <w:color w:val="000000"/>
          <w:kern w:val="1"/>
          <w:lang w:eastAsia="zh-CN"/>
        </w:rPr>
        <w:t>:Egyéb</w:t>
      </w:r>
      <w:proofErr w:type="gramEnd"/>
      <w:r w:rsidRPr="00501D59">
        <w:rPr>
          <w:color w:val="000000"/>
          <w:kern w:val="1"/>
          <w:lang w:eastAsia="zh-CN"/>
        </w:rPr>
        <w:t xml:space="preserve"> pszichés fejlődési zavarral küzdő gyermekek, tanulók komplex vizsgálatának diagnosztikus protokollja – Specifikus tanulási zavarok (írott nyelvhasználat zavarai, </w:t>
      </w:r>
      <w:proofErr w:type="spellStart"/>
      <w:r w:rsidRPr="00501D59">
        <w:rPr>
          <w:color w:val="000000"/>
          <w:kern w:val="1"/>
          <w:lang w:eastAsia="zh-CN"/>
        </w:rPr>
        <w:t>diszkalkulia</w:t>
      </w:r>
      <w:proofErr w:type="spellEnd"/>
      <w:r w:rsidRPr="00501D59">
        <w:rPr>
          <w:color w:val="000000"/>
          <w:kern w:val="1"/>
          <w:lang w:eastAsia="zh-CN"/>
        </w:rPr>
        <w:t xml:space="preserve"> </w:t>
      </w:r>
      <w:proofErr w:type="spellStart"/>
      <w:r w:rsidRPr="00501D59">
        <w:rPr>
          <w:color w:val="000000"/>
          <w:kern w:val="1"/>
          <w:lang w:eastAsia="zh-CN"/>
        </w:rPr>
        <w:t>Educatio</w:t>
      </w:r>
      <w:proofErr w:type="spellEnd"/>
      <w:r w:rsidRPr="00501D59">
        <w:rPr>
          <w:color w:val="000000"/>
          <w:kern w:val="1"/>
          <w:lang w:eastAsia="zh-CN"/>
        </w:rPr>
        <w:t xml:space="preserve"> Társadalmi Szolgáltató Nonprofit Kft , https://www.educatio.hu/pub_bin/download/.../diagnosztikai_kezikonyv_9fejezet.pdf </w:t>
      </w: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Cambria" w:hAnsi="Cambria" w:cs="Cambria"/>
          <w:color w:val="000000"/>
          <w:kern w:val="1"/>
          <w:szCs w:val="20"/>
          <w:lang w:eastAsia="zh-CN"/>
        </w:rPr>
      </w:pPr>
      <w:r w:rsidRPr="00501D59">
        <w:rPr>
          <w:color w:val="000000"/>
          <w:kern w:val="1"/>
          <w:lang w:eastAsia="zh-CN"/>
        </w:rPr>
        <w:lastRenderedPageBreak/>
        <w:t xml:space="preserve">Illyés </w:t>
      </w:r>
      <w:proofErr w:type="gramStart"/>
      <w:r w:rsidRPr="00501D59">
        <w:rPr>
          <w:color w:val="000000"/>
          <w:kern w:val="1"/>
          <w:lang w:eastAsia="zh-CN"/>
        </w:rPr>
        <w:t>Sándor(</w:t>
      </w:r>
      <w:proofErr w:type="gramEnd"/>
      <w:r w:rsidRPr="00501D59">
        <w:rPr>
          <w:color w:val="000000"/>
          <w:kern w:val="1"/>
          <w:lang w:eastAsia="zh-CN"/>
        </w:rPr>
        <w:t xml:space="preserve">2006): Fogyatékosság, speciális nevelési szükséglet, differenciális pedagógia. </w:t>
      </w:r>
      <w:proofErr w:type="spellStart"/>
      <w:r w:rsidRPr="00501D59">
        <w:rPr>
          <w:color w:val="000000"/>
          <w:kern w:val="1"/>
          <w:lang w:eastAsia="zh-CN"/>
        </w:rPr>
        <w:t>In</w:t>
      </w:r>
      <w:proofErr w:type="spellEnd"/>
      <w:r w:rsidRPr="00501D59">
        <w:rPr>
          <w:color w:val="000000"/>
          <w:kern w:val="1"/>
          <w:lang w:eastAsia="zh-CN"/>
        </w:rPr>
        <w:t xml:space="preserve">: Hoffmann </w:t>
      </w:r>
      <w:proofErr w:type="gramStart"/>
      <w:r w:rsidRPr="00501D59">
        <w:rPr>
          <w:color w:val="000000"/>
          <w:kern w:val="1"/>
          <w:lang w:eastAsia="zh-CN"/>
        </w:rPr>
        <w:t>Judit(</w:t>
      </w:r>
      <w:proofErr w:type="gramEnd"/>
      <w:r w:rsidRPr="00501D59">
        <w:rPr>
          <w:color w:val="000000"/>
          <w:kern w:val="1"/>
          <w:lang w:eastAsia="zh-CN"/>
        </w:rPr>
        <w:t xml:space="preserve">szerk.): Gyógypedagógiai szöveggyűjtemény. </w:t>
      </w:r>
      <w:proofErr w:type="spellStart"/>
      <w:r w:rsidRPr="00501D59">
        <w:rPr>
          <w:color w:val="000000"/>
          <w:kern w:val="1"/>
          <w:lang w:eastAsia="zh-CN"/>
        </w:rPr>
        <w:t>Coménius</w:t>
      </w:r>
      <w:proofErr w:type="spellEnd"/>
      <w:r w:rsidRPr="00501D59">
        <w:rPr>
          <w:color w:val="000000"/>
          <w:kern w:val="1"/>
          <w:lang w:eastAsia="zh-CN"/>
        </w:rPr>
        <w:t xml:space="preserve"> Kft. Pécs, 71-48. </w:t>
      </w: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1"/>
          <w:szCs w:val="20"/>
          <w:lang w:eastAsia="zh-CN"/>
        </w:rPr>
      </w:pPr>
      <w:r w:rsidRPr="00501D59">
        <w:rPr>
          <w:color w:val="000000"/>
          <w:kern w:val="1"/>
          <w:lang w:eastAsia="zh-CN"/>
        </w:rPr>
        <w:t xml:space="preserve">Kovácsné </w:t>
      </w:r>
      <w:proofErr w:type="spellStart"/>
      <w:r w:rsidRPr="00501D59">
        <w:rPr>
          <w:color w:val="000000"/>
          <w:kern w:val="1"/>
          <w:lang w:eastAsia="zh-CN"/>
        </w:rPr>
        <w:t>szerk</w:t>
      </w:r>
      <w:proofErr w:type="spellEnd"/>
      <w:r w:rsidRPr="00501D59">
        <w:rPr>
          <w:color w:val="000000"/>
          <w:kern w:val="1"/>
          <w:lang w:eastAsia="zh-CN"/>
        </w:rPr>
        <w:t xml:space="preserve">: (2015): Sajátos nevelési igények, méltányos pedagógia Savaria University Press, Szombathely ISBN 978 615 5251559 </w:t>
      </w:r>
      <w:r w:rsidRPr="00501D59">
        <w:rPr>
          <w:color w:val="000000"/>
          <w:kern w:val="1"/>
          <w:u w:val="single"/>
          <w:lang w:eastAsia="zh-CN"/>
        </w:rPr>
        <w:t>http://mek.oszk.hu/14700/14725/14725.pdf</w:t>
      </w:r>
      <w:r w:rsidRPr="00501D59">
        <w:rPr>
          <w:color w:val="000000"/>
          <w:kern w:val="1"/>
          <w:lang w:eastAsia="zh-CN"/>
        </w:rPr>
        <w:t xml:space="preserve"> </w:t>
      </w: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1"/>
          <w:szCs w:val="20"/>
          <w:lang w:eastAsia="zh-CN"/>
        </w:rPr>
      </w:pPr>
      <w:proofErr w:type="spellStart"/>
      <w:r w:rsidRPr="00501D59">
        <w:rPr>
          <w:color w:val="000000"/>
          <w:kern w:val="1"/>
          <w:lang w:eastAsia="zh-CN"/>
        </w:rPr>
        <w:t>Neill</w:t>
      </w:r>
      <w:proofErr w:type="spellEnd"/>
      <w:r w:rsidRPr="00501D59">
        <w:rPr>
          <w:color w:val="000000"/>
          <w:kern w:val="1"/>
          <w:lang w:eastAsia="zh-CN"/>
        </w:rPr>
        <w:t xml:space="preserve">, A. S. (2004): </w:t>
      </w:r>
      <w:proofErr w:type="spellStart"/>
      <w:r w:rsidRPr="00501D59">
        <w:rPr>
          <w:i/>
          <w:color w:val="000000"/>
          <w:kern w:val="1"/>
          <w:lang w:eastAsia="zh-CN"/>
        </w:rPr>
        <w:t>Summerhill</w:t>
      </w:r>
      <w:proofErr w:type="spellEnd"/>
      <w:r w:rsidRPr="00501D59">
        <w:rPr>
          <w:i/>
          <w:color w:val="000000"/>
          <w:kern w:val="1"/>
          <w:lang w:eastAsia="zh-CN"/>
        </w:rPr>
        <w:t xml:space="preserve"> – A pedagógia csendes forradalma.</w:t>
      </w:r>
      <w:r w:rsidRPr="00501D59">
        <w:rPr>
          <w:color w:val="000000"/>
          <w:kern w:val="1"/>
          <w:lang w:eastAsia="zh-CN"/>
        </w:rPr>
        <w:t xml:space="preserve"> </w:t>
      </w:r>
      <w:proofErr w:type="spellStart"/>
      <w:r w:rsidRPr="00501D59">
        <w:rPr>
          <w:color w:val="000000"/>
          <w:kern w:val="1"/>
          <w:lang w:eastAsia="zh-CN"/>
        </w:rPr>
        <w:t>Kétezeregy</w:t>
      </w:r>
      <w:proofErr w:type="spellEnd"/>
      <w:r w:rsidRPr="00501D59">
        <w:rPr>
          <w:color w:val="000000"/>
          <w:kern w:val="1"/>
          <w:lang w:eastAsia="zh-CN"/>
        </w:rPr>
        <w:t xml:space="preserve"> Kiadó, Piliscsaba. </w:t>
      </w:r>
      <w:r w:rsidRPr="00501D59">
        <w:rPr>
          <w:kern w:val="1"/>
          <w:lang w:eastAsia="zh-CN"/>
        </w:rPr>
        <w:t xml:space="preserve">ISBN: 9789639904064 </w:t>
      </w: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1"/>
          <w:szCs w:val="20"/>
          <w:lang w:eastAsia="zh-CN"/>
        </w:rPr>
      </w:pPr>
      <w:proofErr w:type="spellStart"/>
      <w:r w:rsidRPr="00501D59">
        <w:rPr>
          <w:color w:val="000000"/>
          <w:kern w:val="1"/>
          <w:lang w:eastAsia="zh-CN"/>
        </w:rPr>
        <w:t>Orgoványi-Gajdos</w:t>
      </w:r>
      <w:proofErr w:type="spellEnd"/>
      <w:r w:rsidRPr="00501D59">
        <w:rPr>
          <w:color w:val="000000"/>
          <w:kern w:val="1"/>
          <w:lang w:eastAsia="zh-CN"/>
        </w:rPr>
        <w:t xml:space="preserve"> Judit (2010): Kalauz a nehezen kezelhető diákok tanításához szükséges nevelési-oktatási stratégiák megalkotásához Pécsi Tudományegyetem, Pécs </w:t>
      </w:r>
      <w:r w:rsidRPr="00501D59">
        <w:rPr>
          <w:i/>
          <w:kern w:val="1"/>
          <w:lang w:eastAsia="zh-CN"/>
        </w:rPr>
        <w:t>ISBN</w:t>
      </w:r>
      <w:r w:rsidRPr="00501D59">
        <w:rPr>
          <w:kern w:val="1"/>
          <w:lang w:eastAsia="zh-CN"/>
        </w:rPr>
        <w:t xml:space="preserve"> 978-963-642-502-9 </w:t>
      </w: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1"/>
          <w:szCs w:val="20"/>
          <w:lang w:eastAsia="zh-CN"/>
        </w:rPr>
      </w:pPr>
      <w:r w:rsidRPr="00501D59">
        <w:rPr>
          <w:color w:val="000000"/>
          <w:kern w:val="1"/>
          <w:lang w:eastAsia="zh-CN"/>
        </w:rPr>
        <w:t xml:space="preserve">Pető Ildikó (2003): </w:t>
      </w:r>
      <w:proofErr w:type="spellStart"/>
      <w:r w:rsidRPr="00501D59">
        <w:rPr>
          <w:color w:val="000000"/>
          <w:kern w:val="1"/>
          <w:lang w:eastAsia="zh-CN"/>
        </w:rPr>
        <w:t>Inklúzió</w:t>
      </w:r>
      <w:proofErr w:type="spellEnd"/>
      <w:r w:rsidRPr="00501D59">
        <w:rPr>
          <w:color w:val="000000"/>
          <w:kern w:val="1"/>
          <w:lang w:eastAsia="zh-CN"/>
        </w:rPr>
        <w:t xml:space="preserve"> a nevelésben. Iskolakultúra, 2003/10. 3–12. </w:t>
      </w: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1"/>
          <w:szCs w:val="20"/>
          <w:lang w:eastAsia="zh-CN"/>
        </w:rPr>
      </w:pPr>
      <w:proofErr w:type="spellStart"/>
      <w:r w:rsidRPr="00501D59">
        <w:rPr>
          <w:color w:val="000000"/>
          <w:kern w:val="1"/>
          <w:lang w:eastAsia="zh-CN"/>
        </w:rPr>
        <w:t>Vidonyiné</w:t>
      </w:r>
      <w:proofErr w:type="spellEnd"/>
      <w:r w:rsidRPr="00501D59">
        <w:rPr>
          <w:color w:val="000000"/>
          <w:kern w:val="1"/>
          <w:lang w:eastAsia="zh-CN"/>
        </w:rPr>
        <w:t xml:space="preserve"> </w:t>
      </w:r>
      <w:proofErr w:type="spellStart"/>
      <w:r w:rsidRPr="00501D59">
        <w:rPr>
          <w:color w:val="000000"/>
          <w:kern w:val="1"/>
          <w:lang w:eastAsia="zh-CN"/>
        </w:rPr>
        <w:t>Sólymosi</w:t>
      </w:r>
      <w:proofErr w:type="spellEnd"/>
      <w:r w:rsidRPr="00501D59">
        <w:rPr>
          <w:color w:val="000000"/>
          <w:kern w:val="1"/>
          <w:lang w:eastAsia="zh-CN"/>
        </w:rPr>
        <w:t xml:space="preserve"> Rita (2010) </w:t>
      </w:r>
      <w:r w:rsidRPr="00501D59">
        <w:rPr>
          <w:i/>
          <w:color w:val="000000"/>
          <w:kern w:val="1"/>
          <w:lang w:eastAsia="zh-CN"/>
        </w:rPr>
        <w:t>A sajátos nevelési igényű tanulók integrált oktatására való érzékenyítéshez kapcsolódó pedagógiai módszerek támogatása</w:t>
      </w:r>
      <w:r w:rsidRPr="00501D59">
        <w:rPr>
          <w:color w:val="000000"/>
          <w:kern w:val="1"/>
          <w:lang w:eastAsia="zh-CN"/>
        </w:rPr>
        <w:t xml:space="preserve"> Nyugat-Magyarországi Egyetem</w:t>
      </w:r>
    </w:p>
    <w:p w:rsidR="00501D59" w:rsidRPr="00501D59" w:rsidRDefault="00501D59" w:rsidP="00501D59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1"/>
          <w:szCs w:val="20"/>
          <w:lang w:eastAsia="zh-CN"/>
        </w:rPr>
      </w:pPr>
      <w:proofErr w:type="spellStart"/>
      <w:r w:rsidRPr="00501D59">
        <w:rPr>
          <w:kern w:val="1"/>
          <w:lang w:eastAsia="zh-CN"/>
        </w:rPr>
        <w:t>Wender</w:t>
      </w:r>
      <w:proofErr w:type="spellEnd"/>
      <w:r w:rsidRPr="00501D59">
        <w:rPr>
          <w:kern w:val="1"/>
          <w:lang w:eastAsia="zh-CN"/>
        </w:rPr>
        <w:t xml:space="preserve">, Paul (1999): </w:t>
      </w:r>
      <w:r w:rsidRPr="00501D59">
        <w:rPr>
          <w:i/>
          <w:kern w:val="1"/>
          <w:lang w:eastAsia="zh-CN"/>
        </w:rPr>
        <w:t>A hiperaktív gyermek, serdül</w:t>
      </w:r>
      <w:r w:rsidRPr="00501D59">
        <w:rPr>
          <w:kern w:val="1"/>
          <w:lang w:eastAsia="zh-CN"/>
        </w:rPr>
        <w:t xml:space="preserve">ő </w:t>
      </w:r>
      <w:r w:rsidRPr="00501D59">
        <w:rPr>
          <w:i/>
          <w:kern w:val="1"/>
          <w:lang w:eastAsia="zh-CN"/>
        </w:rPr>
        <w:t>és feln</w:t>
      </w:r>
      <w:r w:rsidRPr="00501D59">
        <w:rPr>
          <w:kern w:val="1"/>
          <w:lang w:eastAsia="zh-CN"/>
        </w:rPr>
        <w:t>ő</w:t>
      </w:r>
      <w:r w:rsidRPr="00501D59">
        <w:rPr>
          <w:i/>
          <w:kern w:val="1"/>
          <w:lang w:eastAsia="zh-CN"/>
        </w:rPr>
        <w:t xml:space="preserve">tt. Figyelemzavar egy egész életen át. </w:t>
      </w:r>
      <w:r w:rsidRPr="00501D59">
        <w:rPr>
          <w:kern w:val="1"/>
          <w:lang w:eastAsia="zh-CN"/>
        </w:rPr>
        <w:t xml:space="preserve">Medicina Könyvkiadó Rt. Budapest ISBN: 9789632423449 </w:t>
      </w:r>
    </w:p>
    <w:p w:rsidR="00C5751D" w:rsidRPr="004B2EC0" w:rsidRDefault="00C5751D" w:rsidP="00501D59">
      <w:pPr>
        <w:spacing w:after="120" w:line="276" w:lineRule="auto"/>
        <w:jc w:val="both"/>
      </w:pPr>
    </w:p>
    <w:sectPr w:rsidR="00C5751D" w:rsidRPr="004B2EC0" w:rsidSect="00225991">
      <w:head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91" w:rsidRDefault="00D87091" w:rsidP="007523CC">
      <w:r>
        <w:separator/>
      </w:r>
    </w:p>
  </w:endnote>
  <w:endnote w:type="continuationSeparator" w:id="0">
    <w:p w:rsidR="00D87091" w:rsidRDefault="00D87091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91" w:rsidRDefault="00D87091" w:rsidP="007523CC">
      <w:r>
        <w:separator/>
      </w:r>
    </w:p>
  </w:footnote>
  <w:footnote w:type="continuationSeparator" w:id="0">
    <w:p w:rsidR="00D87091" w:rsidRDefault="00D87091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C05ED4" w:rsidRPr="00C05ED4" w:rsidRDefault="007523CC" w:rsidP="00C05ED4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193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A104E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81970"/>
    <w:multiLevelType w:val="hybridMultilevel"/>
    <w:tmpl w:val="F06057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3747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F6C83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76762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51056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59569D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5F33FA"/>
    <w:multiLevelType w:val="hybridMultilevel"/>
    <w:tmpl w:val="63ECB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E685A"/>
    <w:multiLevelType w:val="hybridMultilevel"/>
    <w:tmpl w:val="42A65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E6308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74D30"/>
    <w:multiLevelType w:val="hybridMultilevel"/>
    <w:tmpl w:val="3990D37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D74CC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21"/>
  </w:num>
  <w:num w:numId="6">
    <w:abstractNumId w:val="19"/>
  </w:num>
  <w:num w:numId="7">
    <w:abstractNumId w:val="3"/>
  </w:num>
  <w:num w:numId="8">
    <w:abstractNumId w:val="11"/>
  </w:num>
  <w:num w:numId="9">
    <w:abstractNumId w:val="18"/>
  </w:num>
  <w:num w:numId="10">
    <w:abstractNumId w:val="12"/>
  </w:num>
  <w:num w:numId="11">
    <w:abstractNumId w:val="0"/>
  </w:num>
  <w:num w:numId="12">
    <w:abstractNumId w:val="4"/>
  </w:num>
  <w:num w:numId="13">
    <w:abstractNumId w:val="22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13"/>
  </w:num>
  <w:num w:numId="19">
    <w:abstractNumId w:val="20"/>
  </w:num>
  <w:num w:numId="20">
    <w:abstractNumId w:val="14"/>
  </w:num>
  <w:num w:numId="21">
    <w:abstractNumId w:val="17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C"/>
    <w:rsid w:val="000652AC"/>
    <w:rsid w:val="0008140F"/>
    <w:rsid w:val="000842DA"/>
    <w:rsid w:val="000C4C65"/>
    <w:rsid w:val="000E5DA3"/>
    <w:rsid w:val="001033C5"/>
    <w:rsid w:val="00127A5B"/>
    <w:rsid w:val="00133ED0"/>
    <w:rsid w:val="0019439D"/>
    <w:rsid w:val="001A5C4E"/>
    <w:rsid w:val="001C1093"/>
    <w:rsid w:val="00225991"/>
    <w:rsid w:val="002754BB"/>
    <w:rsid w:val="002A5CC6"/>
    <w:rsid w:val="002D6A57"/>
    <w:rsid w:val="002D74F7"/>
    <w:rsid w:val="00323777"/>
    <w:rsid w:val="003561F7"/>
    <w:rsid w:val="003B3A27"/>
    <w:rsid w:val="003E4158"/>
    <w:rsid w:val="003F16D2"/>
    <w:rsid w:val="003F4164"/>
    <w:rsid w:val="00405074"/>
    <w:rsid w:val="00473F6E"/>
    <w:rsid w:val="00484197"/>
    <w:rsid w:val="004A571D"/>
    <w:rsid w:val="004B20FC"/>
    <w:rsid w:val="004B2EC0"/>
    <w:rsid w:val="004C0E18"/>
    <w:rsid w:val="004F7BCC"/>
    <w:rsid w:val="00501D59"/>
    <w:rsid w:val="00520126"/>
    <w:rsid w:val="005341EE"/>
    <w:rsid w:val="00560350"/>
    <w:rsid w:val="00576140"/>
    <w:rsid w:val="00581042"/>
    <w:rsid w:val="005A590F"/>
    <w:rsid w:val="005A624B"/>
    <w:rsid w:val="00645856"/>
    <w:rsid w:val="00695AA4"/>
    <w:rsid w:val="006B581B"/>
    <w:rsid w:val="006B6810"/>
    <w:rsid w:val="007005C7"/>
    <w:rsid w:val="00710D81"/>
    <w:rsid w:val="00716E2B"/>
    <w:rsid w:val="007523CC"/>
    <w:rsid w:val="00774DC7"/>
    <w:rsid w:val="007A00D8"/>
    <w:rsid w:val="007B4708"/>
    <w:rsid w:val="007D6DF2"/>
    <w:rsid w:val="007D6E1D"/>
    <w:rsid w:val="00802900"/>
    <w:rsid w:val="00810E47"/>
    <w:rsid w:val="00821A9D"/>
    <w:rsid w:val="00835A5E"/>
    <w:rsid w:val="008A1D41"/>
    <w:rsid w:val="009356FA"/>
    <w:rsid w:val="0095355B"/>
    <w:rsid w:val="009551CF"/>
    <w:rsid w:val="00977EA2"/>
    <w:rsid w:val="009850C9"/>
    <w:rsid w:val="009B23F5"/>
    <w:rsid w:val="009C5922"/>
    <w:rsid w:val="009D02ED"/>
    <w:rsid w:val="009E4C3B"/>
    <w:rsid w:val="00A44BE1"/>
    <w:rsid w:val="00A66C85"/>
    <w:rsid w:val="00A67D4A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44065"/>
    <w:rsid w:val="00B86D46"/>
    <w:rsid w:val="00BA2B4E"/>
    <w:rsid w:val="00BE6129"/>
    <w:rsid w:val="00C00EE6"/>
    <w:rsid w:val="00C05ED4"/>
    <w:rsid w:val="00C2237B"/>
    <w:rsid w:val="00C25AE7"/>
    <w:rsid w:val="00C30C27"/>
    <w:rsid w:val="00C5751D"/>
    <w:rsid w:val="00C62749"/>
    <w:rsid w:val="00CB0A34"/>
    <w:rsid w:val="00CC62A3"/>
    <w:rsid w:val="00CD585A"/>
    <w:rsid w:val="00D11E50"/>
    <w:rsid w:val="00D137C3"/>
    <w:rsid w:val="00D14171"/>
    <w:rsid w:val="00D3489D"/>
    <w:rsid w:val="00D52A3B"/>
    <w:rsid w:val="00D74507"/>
    <w:rsid w:val="00D87091"/>
    <w:rsid w:val="00DC3280"/>
    <w:rsid w:val="00DF4508"/>
    <w:rsid w:val="00EA36AC"/>
    <w:rsid w:val="00EA6366"/>
    <w:rsid w:val="00EB2835"/>
    <w:rsid w:val="00EF2504"/>
    <w:rsid w:val="00F179E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55B20-F8F2-43FC-80D2-B713CBB2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44065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4406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NormlWeb">
    <w:name w:val="Normal (Web)"/>
    <w:basedOn w:val="Norml"/>
    <w:rsid w:val="00B44065"/>
    <w:pPr>
      <w:autoSpaceDE/>
      <w:autoSpaceDN/>
      <w:adjustRightInd/>
      <w:spacing w:before="100" w:beforeAutospacing="1" w:after="100" w:afterAutospacing="1"/>
    </w:pPr>
  </w:style>
  <w:style w:type="character" w:customStyle="1" w:styleId="tablerowdata">
    <w:name w:val="tablerowdata"/>
    <w:rsid w:val="00B44065"/>
  </w:style>
  <w:style w:type="character" w:customStyle="1" w:styleId="object">
    <w:name w:val="object"/>
    <w:basedOn w:val="Bekezdsalapbettpusa"/>
    <w:rsid w:val="00B44065"/>
  </w:style>
  <w:style w:type="table" w:styleId="Rcsostblzat">
    <w:name w:val="Table Grid"/>
    <w:basedOn w:val="Normltblzat"/>
    <w:uiPriority w:val="59"/>
    <w:rsid w:val="00B44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fi.hu/10-oktatasi-egyenlotlensegek-es-sajatos-igenyek-gyorgyi-zoltan-kopatakine-meszaros-ma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Kovács Klára</cp:lastModifiedBy>
  <cp:revision>3</cp:revision>
  <cp:lastPrinted>2017-10-18T08:57:00Z</cp:lastPrinted>
  <dcterms:created xsi:type="dcterms:W3CDTF">2018-02-01T13:40:00Z</dcterms:created>
  <dcterms:modified xsi:type="dcterms:W3CDTF">2018-02-04T16:44:00Z</dcterms:modified>
</cp:coreProperties>
</file>