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38" w:rsidRPr="00696A02" w:rsidRDefault="00696A02" w:rsidP="002C7638">
      <w:pPr>
        <w:jc w:val="center"/>
        <w:rPr>
          <w:rFonts w:cs="Times New Roman"/>
          <w:b/>
          <w:color w:val="7030A0"/>
          <w:sz w:val="20"/>
          <w:szCs w:val="20"/>
        </w:rPr>
      </w:pPr>
      <w:r w:rsidRPr="00696A02">
        <w:rPr>
          <w:rFonts w:cs="Times New Roman"/>
          <w:b/>
          <w:color w:val="7030A0"/>
          <w:sz w:val="20"/>
          <w:szCs w:val="20"/>
        </w:rPr>
        <w:t xml:space="preserve"> </w:t>
      </w:r>
    </w:p>
    <w:p w:rsidR="002C7638" w:rsidRPr="00696A02" w:rsidRDefault="002C7638" w:rsidP="002C7638">
      <w:pPr>
        <w:jc w:val="center"/>
        <w:rPr>
          <w:rFonts w:cs="Times New Roman"/>
          <w:b/>
          <w:color w:val="7030A0"/>
          <w:sz w:val="20"/>
          <w:szCs w:val="20"/>
        </w:rPr>
      </w:pPr>
      <w:r w:rsidRPr="00696A02">
        <w:rPr>
          <w:rFonts w:cs="Times New Roman"/>
          <w:b/>
          <w:color w:val="7030A0"/>
          <w:sz w:val="20"/>
          <w:szCs w:val="20"/>
        </w:rPr>
        <w:t>MENTÁLHIGIÉNÉS TRÉNING</w:t>
      </w:r>
    </w:p>
    <w:p w:rsidR="002C7638" w:rsidRPr="00696A02" w:rsidRDefault="002C7638" w:rsidP="002C7638">
      <w:pPr>
        <w:jc w:val="center"/>
        <w:rPr>
          <w:rFonts w:cs="Times New Roman"/>
          <w:b/>
          <w:color w:val="7030A0"/>
          <w:sz w:val="20"/>
          <w:szCs w:val="20"/>
        </w:rPr>
      </w:pPr>
      <w:r w:rsidRPr="00696A02">
        <w:rPr>
          <w:rFonts w:cs="Times New Roman"/>
          <w:b/>
          <w:color w:val="7030A0"/>
          <w:sz w:val="20"/>
          <w:szCs w:val="20"/>
        </w:rPr>
        <w:t>BTED413BA-K2</w:t>
      </w:r>
    </w:p>
    <w:p w:rsidR="002C7638" w:rsidRPr="00696A02" w:rsidRDefault="002C7638" w:rsidP="002C7638">
      <w:pPr>
        <w:jc w:val="center"/>
        <w:rPr>
          <w:rFonts w:cs="Times New Roman"/>
          <w:b/>
          <w:color w:val="7030A0"/>
          <w:sz w:val="20"/>
          <w:szCs w:val="20"/>
        </w:rPr>
      </w:pPr>
      <w:r w:rsidRPr="00696A02">
        <w:rPr>
          <w:rFonts w:cs="Times New Roman"/>
          <w:b/>
          <w:color w:val="7030A0"/>
          <w:sz w:val="20"/>
          <w:szCs w:val="20"/>
        </w:rPr>
        <w:t xml:space="preserve">(pedagógia </w:t>
      </w:r>
      <w:proofErr w:type="spellStart"/>
      <w:r w:rsidRPr="00696A02">
        <w:rPr>
          <w:rFonts w:cs="Times New Roman"/>
          <w:b/>
          <w:color w:val="7030A0"/>
          <w:sz w:val="20"/>
          <w:szCs w:val="20"/>
        </w:rPr>
        <w:t>nev.spec</w:t>
      </w:r>
      <w:proofErr w:type="spellEnd"/>
      <w:r w:rsidRPr="00696A02">
        <w:rPr>
          <w:rFonts w:cs="Times New Roman"/>
          <w:b/>
          <w:color w:val="7030A0"/>
          <w:sz w:val="20"/>
          <w:szCs w:val="20"/>
        </w:rPr>
        <w:t>.)</w:t>
      </w:r>
    </w:p>
    <w:p w:rsidR="002C7638" w:rsidRPr="00696A02" w:rsidRDefault="002C7638" w:rsidP="002C7638">
      <w:pPr>
        <w:jc w:val="center"/>
        <w:rPr>
          <w:rFonts w:cs="Times New Roman"/>
          <w:b/>
          <w:color w:val="7030A0"/>
          <w:sz w:val="20"/>
          <w:szCs w:val="20"/>
        </w:rPr>
      </w:pPr>
      <w:r w:rsidRPr="00696A02">
        <w:rPr>
          <w:rFonts w:cs="Times New Roman"/>
          <w:b/>
          <w:color w:val="7030A0"/>
          <w:sz w:val="20"/>
          <w:szCs w:val="20"/>
        </w:rPr>
        <w:t>(</w:t>
      </w:r>
      <w:proofErr w:type="spellStart"/>
      <w:r w:rsidRPr="00696A02">
        <w:rPr>
          <w:rFonts w:cs="Times New Roman"/>
          <w:b/>
          <w:color w:val="7030A0"/>
          <w:sz w:val="20"/>
          <w:szCs w:val="20"/>
        </w:rPr>
        <w:t>szab.vál</w:t>
      </w:r>
      <w:proofErr w:type="spellEnd"/>
      <w:r w:rsidRPr="00696A02">
        <w:rPr>
          <w:rFonts w:cs="Times New Roman"/>
          <w:b/>
          <w:color w:val="7030A0"/>
          <w:sz w:val="20"/>
          <w:szCs w:val="20"/>
        </w:rPr>
        <w:t>.)</w:t>
      </w:r>
    </w:p>
    <w:p w:rsidR="002C7638" w:rsidRPr="00696A02" w:rsidRDefault="002C7638" w:rsidP="002C7638">
      <w:pPr>
        <w:jc w:val="center"/>
        <w:rPr>
          <w:rFonts w:cs="Times New Roman"/>
          <w:color w:val="7030A0"/>
          <w:sz w:val="20"/>
          <w:szCs w:val="20"/>
        </w:rPr>
      </w:pPr>
    </w:p>
    <w:p w:rsidR="002C7638" w:rsidRPr="00696A02" w:rsidRDefault="002C7638" w:rsidP="002C7638">
      <w:pPr>
        <w:jc w:val="center"/>
        <w:rPr>
          <w:rFonts w:cs="Times New Roman"/>
          <w:b/>
          <w:color w:val="7030A0"/>
          <w:sz w:val="20"/>
          <w:szCs w:val="20"/>
        </w:rPr>
      </w:pPr>
      <w:r w:rsidRPr="00696A02">
        <w:rPr>
          <w:rFonts w:cs="Times New Roman"/>
          <w:b/>
          <w:color w:val="7030A0"/>
          <w:sz w:val="20"/>
          <w:szCs w:val="20"/>
        </w:rPr>
        <w:t>2018/2019. tanév II. félév</w:t>
      </w:r>
    </w:p>
    <w:p w:rsidR="002C7638" w:rsidRPr="00696A02" w:rsidRDefault="002C7638" w:rsidP="002C7638">
      <w:pPr>
        <w:jc w:val="right"/>
        <w:rPr>
          <w:rFonts w:cs="Times New Roman"/>
          <w:b/>
          <w:color w:val="7030A0"/>
          <w:sz w:val="20"/>
          <w:szCs w:val="20"/>
        </w:rPr>
      </w:pPr>
      <w:r w:rsidRPr="00696A02">
        <w:rPr>
          <w:rFonts w:cs="Times New Roman"/>
          <w:b/>
          <w:color w:val="7030A0"/>
          <w:sz w:val="20"/>
          <w:szCs w:val="20"/>
        </w:rPr>
        <w:t xml:space="preserve"> </w:t>
      </w:r>
      <w:proofErr w:type="gramStart"/>
      <w:r w:rsidRPr="00696A02">
        <w:rPr>
          <w:rFonts w:cs="Times New Roman"/>
          <w:b/>
          <w:color w:val="7030A0"/>
          <w:sz w:val="20"/>
          <w:szCs w:val="20"/>
        </w:rPr>
        <w:t>hétfő</w:t>
      </w:r>
      <w:proofErr w:type="gramEnd"/>
      <w:r w:rsidRPr="00696A02">
        <w:rPr>
          <w:rFonts w:cs="Times New Roman"/>
          <w:b/>
          <w:color w:val="7030A0"/>
          <w:sz w:val="20"/>
          <w:szCs w:val="20"/>
        </w:rPr>
        <w:t xml:space="preserve"> 14:00-151:30  57.terem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7"/>
        <w:gridCol w:w="4713"/>
        <w:gridCol w:w="2482"/>
      </w:tblGrid>
      <w:tr w:rsidR="00A402F8" w:rsidRPr="00696A02" w:rsidTr="00035E97">
        <w:tc>
          <w:tcPr>
            <w:tcW w:w="6230" w:type="dxa"/>
            <w:gridSpan w:val="2"/>
          </w:tcPr>
          <w:p w:rsidR="002C7638" w:rsidRPr="00696A02" w:rsidRDefault="002C7638" w:rsidP="00A01459">
            <w:pPr>
              <w:jc w:val="center"/>
              <w:rPr>
                <w:rFonts w:cs="Times New Roman"/>
                <w:b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b/>
                <w:color w:val="7030A0"/>
                <w:sz w:val="20"/>
                <w:szCs w:val="20"/>
              </w:rPr>
              <w:t>témakör</w:t>
            </w:r>
          </w:p>
        </w:tc>
        <w:tc>
          <w:tcPr>
            <w:tcW w:w="2482" w:type="dxa"/>
          </w:tcPr>
          <w:p w:rsidR="002C7638" w:rsidRPr="00696A02" w:rsidRDefault="002C7638" w:rsidP="00A01459">
            <w:pPr>
              <w:jc w:val="center"/>
              <w:rPr>
                <w:rFonts w:cs="Times New Roman"/>
                <w:b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b/>
                <w:color w:val="7030A0"/>
                <w:sz w:val="20"/>
                <w:szCs w:val="20"/>
              </w:rPr>
              <w:t>megjegyzés</w:t>
            </w:r>
          </w:p>
        </w:tc>
      </w:tr>
      <w:tr w:rsidR="00A402F8" w:rsidRPr="00696A02" w:rsidTr="00A01459">
        <w:tc>
          <w:tcPr>
            <w:tcW w:w="1517" w:type="dxa"/>
          </w:tcPr>
          <w:p w:rsidR="002C7638" w:rsidRPr="00696A02" w:rsidRDefault="002C7638" w:rsidP="002C7638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február 11.</w:t>
            </w:r>
          </w:p>
        </w:tc>
        <w:tc>
          <w:tcPr>
            <w:tcW w:w="4713" w:type="dxa"/>
          </w:tcPr>
          <w:p w:rsidR="002C7638" w:rsidRDefault="00BD0482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>Követelmények;</w:t>
            </w:r>
          </w:p>
          <w:p w:rsidR="00BD0482" w:rsidRPr="00696A02" w:rsidRDefault="00BD0482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>a mentálhigiéné</w:t>
            </w:r>
            <w:r w:rsidR="003D7617">
              <w:rPr>
                <w:rFonts w:cs="Times New Roman"/>
                <w:color w:val="7030A0"/>
                <w:sz w:val="20"/>
                <w:szCs w:val="20"/>
              </w:rPr>
              <w:t>-értelmezési keret</w:t>
            </w:r>
            <w:bookmarkStart w:id="0" w:name="_GoBack"/>
            <w:bookmarkEnd w:id="0"/>
          </w:p>
        </w:tc>
        <w:tc>
          <w:tcPr>
            <w:tcW w:w="2482" w:type="dxa"/>
          </w:tcPr>
          <w:p w:rsidR="002C7638" w:rsidRPr="00696A02" w:rsidRDefault="002C7638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</w:tr>
      <w:tr w:rsidR="00A402F8" w:rsidRPr="00696A02" w:rsidTr="00A01459">
        <w:tc>
          <w:tcPr>
            <w:tcW w:w="1517" w:type="dxa"/>
          </w:tcPr>
          <w:p w:rsidR="002C7638" w:rsidRPr="00696A02" w:rsidRDefault="002C7638" w:rsidP="00A01459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   18.</w:t>
            </w:r>
          </w:p>
        </w:tc>
        <w:tc>
          <w:tcPr>
            <w:tcW w:w="4713" w:type="dxa"/>
          </w:tcPr>
          <w:p w:rsidR="002C7638" w:rsidRPr="00696A02" w:rsidRDefault="002C7638" w:rsidP="00554BF8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önismeret </w:t>
            </w:r>
            <w:r w:rsidR="00BD0482">
              <w:rPr>
                <w:rFonts w:cs="Times New Roman"/>
                <w:color w:val="7030A0"/>
                <w:sz w:val="20"/>
                <w:szCs w:val="20"/>
              </w:rPr>
              <w:t>I.</w:t>
            </w:r>
          </w:p>
        </w:tc>
        <w:tc>
          <w:tcPr>
            <w:tcW w:w="2482" w:type="dxa"/>
          </w:tcPr>
          <w:p w:rsidR="002C7638" w:rsidRPr="00696A02" w:rsidRDefault="00035E97" w:rsidP="00BD0482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Buda B.12-26</w:t>
            </w:r>
            <w:r w:rsidR="00554BF8" w:rsidRPr="00696A02">
              <w:rPr>
                <w:rFonts w:cs="Times New Roman"/>
                <w:color w:val="7030A0"/>
                <w:sz w:val="20"/>
                <w:szCs w:val="20"/>
              </w:rPr>
              <w:t xml:space="preserve">. </w:t>
            </w:r>
          </w:p>
        </w:tc>
      </w:tr>
      <w:tr w:rsidR="00A402F8" w:rsidRPr="00696A02" w:rsidTr="00A01459">
        <w:tc>
          <w:tcPr>
            <w:tcW w:w="1517" w:type="dxa"/>
          </w:tcPr>
          <w:p w:rsidR="002C7638" w:rsidRPr="00696A02" w:rsidRDefault="002C7638" w:rsidP="002C7638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  25.</w:t>
            </w:r>
          </w:p>
        </w:tc>
        <w:tc>
          <w:tcPr>
            <w:tcW w:w="4713" w:type="dxa"/>
          </w:tcPr>
          <w:p w:rsidR="002C7638" w:rsidRPr="00696A02" w:rsidRDefault="00554BF8" w:rsidP="00554BF8">
            <w:pPr>
              <w:rPr>
                <w:rFonts w:cs="Times New Roman"/>
                <w:color w:val="7030A0"/>
                <w:sz w:val="20"/>
                <w:szCs w:val="20"/>
              </w:rPr>
            </w:pPr>
            <w:proofErr w:type="gramStart"/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önismeret  </w:t>
            </w:r>
            <w:r w:rsidR="00BD0482">
              <w:rPr>
                <w:rFonts w:cs="Times New Roman"/>
                <w:color w:val="7030A0"/>
                <w:sz w:val="20"/>
                <w:szCs w:val="20"/>
              </w:rPr>
              <w:t>II.</w:t>
            </w:r>
            <w:proofErr w:type="gramEnd"/>
          </w:p>
        </w:tc>
        <w:tc>
          <w:tcPr>
            <w:tcW w:w="2482" w:type="dxa"/>
          </w:tcPr>
          <w:p w:rsidR="002C7638" w:rsidRPr="00696A02" w:rsidRDefault="00035E97" w:rsidP="00BD0482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Buda B. 67-78.</w:t>
            </w:r>
            <w:r w:rsidR="00554BF8" w:rsidRPr="00696A02">
              <w:rPr>
                <w:rFonts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A402F8" w:rsidRPr="00696A02" w:rsidTr="00A01459">
        <w:tc>
          <w:tcPr>
            <w:tcW w:w="1517" w:type="dxa"/>
          </w:tcPr>
          <w:p w:rsidR="002C7638" w:rsidRPr="00696A02" w:rsidRDefault="002C7638" w:rsidP="00A01459">
            <w:pPr>
              <w:jc w:val="center"/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március 4.</w:t>
            </w:r>
          </w:p>
        </w:tc>
        <w:tc>
          <w:tcPr>
            <w:tcW w:w="4713" w:type="dxa"/>
          </w:tcPr>
          <w:p w:rsidR="002C7638" w:rsidRPr="00696A02" w:rsidRDefault="00A402F8" w:rsidP="00A402F8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empátia, kooperáció</w:t>
            </w:r>
          </w:p>
          <w:p w:rsidR="00A402F8" w:rsidRPr="00696A02" w:rsidRDefault="00A402F8" w:rsidP="00A402F8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</w:tcPr>
          <w:p w:rsidR="002C7638" w:rsidRPr="00696A02" w:rsidRDefault="00035E97" w:rsidP="00BD0482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Buda B.80-99</w:t>
            </w:r>
            <w:r w:rsidR="00554BF8" w:rsidRPr="00696A02">
              <w:rPr>
                <w:rFonts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A402F8" w:rsidRPr="00696A02" w:rsidTr="00A01459">
        <w:tc>
          <w:tcPr>
            <w:tcW w:w="1517" w:type="dxa"/>
          </w:tcPr>
          <w:p w:rsidR="002C7638" w:rsidRPr="00696A02" w:rsidRDefault="002C7638" w:rsidP="002C7638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        11.</w:t>
            </w:r>
          </w:p>
        </w:tc>
        <w:tc>
          <w:tcPr>
            <w:tcW w:w="4713" w:type="dxa"/>
          </w:tcPr>
          <w:p w:rsidR="002C7638" w:rsidRPr="00696A02" w:rsidRDefault="002C7638" w:rsidP="00554BF8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stressz</w:t>
            </w:r>
            <w:r w:rsidR="00554BF8" w:rsidRPr="00696A02">
              <w:rPr>
                <w:rFonts w:cs="Times New Roman"/>
                <w:color w:val="7030A0"/>
                <w:sz w:val="20"/>
                <w:szCs w:val="20"/>
              </w:rPr>
              <w:t xml:space="preserve"> és kezelése</w:t>
            </w:r>
          </w:p>
        </w:tc>
        <w:tc>
          <w:tcPr>
            <w:tcW w:w="2482" w:type="dxa"/>
          </w:tcPr>
          <w:p w:rsidR="002C7638" w:rsidRPr="00696A02" w:rsidRDefault="00035E97" w:rsidP="00BD0482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Buda B.128-140.</w:t>
            </w:r>
            <w:r w:rsidR="00554BF8" w:rsidRPr="00696A02">
              <w:rPr>
                <w:rFonts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A402F8" w:rsidRPr="00696A02" w:rsidTr="00A01459">
        <w:tc>
          <w:tcPr>
            <w:tcW w:w="1517" w:type="dxa"/>
          </w:tcPr>
          <w:p w:rsidR="002C7638" w:rsidRPr="00696A02" w:rsidRDefault="002C7638" w:rsidP="00A01459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    18.</w:t>
            </w:r>
          </w:p>
        </w:tc>
        <w:tc>
          <w:tcPr>
            <w:tcW w:w="4713" w:type="dxa"/>
          </w:tcPr>
          <w:p w:rsidR="002C7638" w:rsidRPr="00696A02" w:rsidRDefault="00A402F8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  <w:proofErr w:type="spellStart"/>
            <w:r w:rsidRPr="00696A02">
              <w:rPr>
                <w:rFonts w:cs="Times New Roman"/>
                <w:color w:val="7030A0"/>
                <w:sz w:val="20"/>
                <w:szCs w:val="20"/>
              </w:rPr>
              <w:t>asszertivitás</w:t>
            </w:r>
            <w:proofErr w:type="spellEnd"/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, </w:t>
            </w:r>
            <w:r w:rsidR="002C7638" w:rsidRPr="00696A02">
              <w:rPr>
                <w:rFonts w:cs="Times New Roman"/>
                <w:color w:val="7030A0"/>
                <w:sz w:val="20"/>
                <w:szCs w:val="20"/>
              </w:rPr>
              <w:t>kommunikáció</w:t>
            </w:r>
          </w:p>
        </w:tc>
        <w:tc>
          <w:tcPr>
            <w:tcW w:w="2482" w:type="dxa"/>
          </w:tcPr>
          <w:p w:rsidR="002C7638" w:rsidRPr="00696A02" w:rsidRDefault="00035E97" w:rsidP="00BD0482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Buda B.141-152.</w:t>
            </w:r>
            <w:r w:rsidR="00554BF8" w:rsidRPr="00696A02">
              <w:rPr>
                <w:rFonts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A402F8" w:rsidRPr="00696A02" w:rsidTr="00A01459">
        <w:tc>
          <w:tcPr>
            <w:tcW w:w="1517" w:type="dxa"/>
          </w:tcPr>
          <w:p w:rsidR="002C7638" w:rsidRPr="00696A02" w:rsidRDefault="002C7638" w:rsidP="002C7638">
            <w:pPr>
              <w:jc w:val="center"/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   25.</w:t>
            </w:r>
          </w:p>
        </w:tc>
        <w:tc>
          <w:tcPr>
            <w:tcW w:w="4713" w:type="dxa"/>
          </w:tcPr>
          <w:p w:rsidR="002C7638" w:rsidRPr="00696A02" w:rsidRDefault="00554BF8" w:rsidP="00A01459">
            <w:pPr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előítéletek, kiégés</w:t>
            </w:r>
          </w:p>
        </w:tc>
        <w:tc>
          <w:tcPr>
            <w:tcW w:w="2482" w:type="dxa"/>
          </w:tcPr>
          <w:p w:rsidR="002C7638" w:rsidRPr="00696A02" w:rsidRDefault="00554BF8" w:rsidP="00BD0482">
            <w:pPr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Buda B. 189-206.</w:t>
            </w:r>
          </w:p>
        </w:tc>
      </w:tr>
      <w:tr w:rsidR="00A402F8" w:rsidRPr="00696A02" w:rsidTr="00A01459">
        <w:tc>
          <w:tcPr>
            <w:tcW w:w="1517" w:type="dxa"/>
          </w:tcPr>
          <w:p w:rsidR="002C7638" w:rsidRPr="00696A02" w:rsidRDefault="002C7638" w:rsidP="002C7638">
            <w:pPr>
              <w:jc w:val="center"/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  <w:highlight w:val="yellow"/>
              </w:rPr>
              <w:t>április 1.</w:t>
            </w:r>
          </w:p>
        </w:tc>
        <w:tc>
          <w:tcPr>
            <w:tcW w:w="4713" w:type="dxa"/>
          </w:tcPr>
          <w:p w:rsidR="002C7638" w:rsidRPr="00696A02" w:rsidRDefault="002C7638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  <w:highlight w:val="yellow"/>
              </w:rPr>
              <w:t>KONZULTÁCIÓS HÉT</w:t>
            </w:r>
          </w:p>
        </w:tc>
        <w:tc>
          <w:tcPr>
            <w:tcW w:w="2482" w:type="dxa"/>
          </w:tcPr>
          <w:p w:rsidR="002C7638" w:rsidRPr="00696A02" w:rsidRDefault="002C7638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</w:tr>
      <w:tr w:rsidR="00A402F8" w:rsidRPr="00696A02" w:rsidTr="00A01459">
        <w:tc>
          <w:tcPr>
            <w:tcW w:w="1517" w:type="dxa"/>
          </w:tcPr>
          <w:p w:rsidR="002C7638" w:rsidRPr="00696A02" w:rsidRDefault="002C7638" w:rsidP="002C7638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  8.</w:t>
            </w:r>
          </w:p>
        </w:tc>
        <w:tc>
          <w:tcPr>
            <w:tcW w:w="4713" w:type="dxa"/>
          </w:tcPr>
          <w:p w:rsidR="002C7638" w:rsidRPr="00696A02" w:rsidRDefault="00554BF8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szupervízió</w:t>
            </w:r>
          </w:p>
        </w:tc>
        <w:tc>
          <w:tcPr>
            <w:tcW w:w="2482" w:type="dxa"/>
          </w:tcPr>
          <w:p w:rsidR="002C7638" w:rsidRPr="00696A02" w:rsidRDefault="002C7638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</w:tr>
      <w:tr w:rsidR="00A402F8" w:rsidRPr="00696A02" w:rsidTr="00A01459">
        <w:tc>
          <w:tcPr>
            <w:tcW w:w="1517" w:type="dxa"/>
          </w:tcPr>
          <w:p w:rsidR="002C7638" w:rsidRPr="00696A02" w:rsidRDefault="002C7638" w:rsidP="002C7638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15.</w:t>
            </w:r>
          </w:p>
        </w:tc>
        <w:tc>
          <w:tcPr>
            <w:tcW w:w="4713" w:type="dxa"/>
          </w:tcPr>
          <w:p w:rsidR="002C7638" w:rsidRPr="00696A02" w:rsidRDefault="00554BF8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önsegítő csoportok</w:t>
            </w:r>
          </w:p>
        </w:tc>
        <w:tc>
          <w:tcPr>
            <w:tcW w:w="2482" w:type="dxa"/>
          </w:tcPr>
          <w:p w:rsidR="002C7638" w:rsidRPr="00696A02" w:rsidRDefault="00696A02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  <w:r>
              <w:rPr>
                <w:rFonts w:cs="Times New Roman"/>
                <w:color w:val="7030A0"/>
                <w:sz w:val="20"/>
                <w:szCs w:val="20"/>
              </w:rPr>
              <w:t>önálló feladat beadása</w:t>
            </w:r>
          </w:p>
        </w:tc>
      </w:tr>
      <w:tr w:rsidR="00A402F8" w:rsidRPr="00696A02" w:rsidTr="00A01459">
        <w:tc>
          <w:tcPr>
            <w:tcW w:w="1517" w:type="dxa"/>
          </w:tcPr>
          <w:p w:rsidR="002C7638" w:rsidRPr="00696A02" w:rsidRDefault="002C7638" w:rsidP="002C7638">
            <w:pPr>
              <w:jc w:val="center"/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  <w:highlight w:val="yellow"/>
              </w:rPr>
              <w:t xml:space="preserve">          22.</w:t>
            </w:r>
          </w:p>
        </w:tc>
        <w:tc>
          <w:tcPr>
            <w:tcW w:w="4713" w:type="dxa"/>
          </w:tcPr>
          <w:p w:rsidR="002C7638" w:rsidRPr="00696A02" w:rsidRDefault="002C7638" w:rsidP="00A01459">
            <w:pPr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  <w:highlight w:val="yellow"/>
              </w:rPr>
              <w:t>HÚSVÉT</w:t>
            </w:r>
          </w:p>
          <w:p w:rsidR="002C7638" w:rsidRPr="00696A02" w:rsidRDefault="002C7638" w:rsidP="00A01459">
            <w:pPr>
              <w:rPr>
                <w:rFonts w:cs="Times New Roman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</w:tcPr>
          <w:p w:rsidR="002C7638" w:rsidRPr="00696A02" w:rsidRDefault="002C7638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</w:tr>
      <w:tr w:rsidR="00035E97" w:rsidRPr="00696A02" w:rsidTr="00A01459">
        <w:tc>
          <w:tcPr>
            <w:tcW w:w="1517" w:type="dxa"/>
          </w:tcPr>
          <w:p w:rsidR="00035E97" w:rsidRPr="00696A02" w:rsidRDefault="00035E97" w:rsidP="002C7638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         29.</w:t>
            </w:r>
          </w:p>
        </w:tc>
        <w:tc>
          <w:tcPr>
            <w:tcW w:w="4713" w:type="dxa"/>
          </w:tcPr>
          <w:p w:rsidR="00035E97" w:rsidRPr="00696A02" w:rsidRDefault="00554BF8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  <w:proofErr w:type="spellStart"/>
            <w:r w:rsidRPr="00696A02">
              <w:rPr>
                <w:rFonts w:cs="Times New Roman"/>
                <w:color w:val="7030A0"/>
                <w:sz w:val="20"/>
                <w:szCs w:val="20"/>
              </w:rPr>
              <w:t>coaching</w:t>
            </w:r>
            <w:proofErr w:type="spellEnd"/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, </w:t>
            </w:r>
          </w:p>
          <w:p w:rsidR="00A402F8" w:rsidRPr="00696A02" w:rsidRDefault="00A402F8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35E97" w:rsidRPr="00696A02" w:rsidRDefault="00035E97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</w:tr>
      <w:tr w:rsidR="00A402F8" w:rsidRPr="00696A02" w:rsidTr="00A01459">
        <w:tc>
          <w:tcPr>
            <w:tcW w:w="1517" w:type="dxa"/>
          </w:tcPr>
          <w:p w:rsidR="002C7638" w:rsidRPr="00696A02" w:rsidRDefault="002C7638" w:rsidP="002C7638">
            <w:pPr>
              <w:jc w:val="center"/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 xml:space="preserve">május 3.                  </w:t>
            </w:r>
          </w:p>
        </w:tc>
        <w:tc>
          <w:tcPr>
            <w:tcW w:w="4713" w:type="dxa"/>
          </w:tcPr>
          <w:p w:rsidR="002C7638" w:rsidRPr="00696A02" w:rsidRDefault="00A402F8" w:rsidP="00554BF8">
            <w:pPr>
              <w:rPr>
                <w:rFonts w:cs="Times New Roman"/>
                <w:color w:val="7030A0"/>
                <w:sz w:val="20"/>
                <w:szCs w:val="20"/>
              </w:rPr>
            </w:pPr>
            <w:r w:rsidRPr="00696A02">
              <w:rPr>
                <w:rFonts w:cs="Times New Roman"/>
                <w:color w:val="7030A0"/>
                <w:sz w:val="20"/>
                <w:szCs w:val="20"/>
              </w:rPr>
              <w:t>konzultációs lehetőség</w:t>
            </w:r>
          </w:p>
        </w:tc>
        <w:tc>
          <w:tcPr>
            <w:tcW w:w="2482" w:type="dxa"/>
          </w:tcPr>
          <w:p w:rsidR="002C7638" w:rsidRPr="00696A02" w:rsidRDefault="002C7638" w:rsidP="00A01459">
            <w:pPr>
              <w:rPr>
                <w:rFonts w:cs="Times New Roman"/>
                <w:color w:val="7030A0"/>
                <w:sz w:val="20"/>
                <w:szCs w:val="20"/>
              </w:rPr>
            </w:pPr>
          </w:p>
        </w:tc>
      </w:tr>
    </w:tbl>
    <w:p w:rsidR="002C7638" w:rsidRPr="00696A02" w:rsidRDefault="002C7638" w:rsidP="002C7638">
      <w:pPr>
        <w:rPr>
          <w:rFonts w:cs="Times New Roman"/>
          <w:b/>
          <w:color w:val="7030A0"/>
          <w:sz w:val="20"/>
          <w:szCs w:val="20"/>
          <w:u w:val="single"/>
        </w:rPr>
      </w:pPr>
      <w:proofErr w:type="gramStart"/>
      <w:r w:rsidRPr="00696A02">
        <w:rPr>
          <w:rFonts w:cs="Times New Roman"/>
          <w:b/>
          <w:color w:val="7030A0"/>
          <w:sz w:val="20"/>
          <w:szCs w:val="20"/>
          <w:u w:val="single"/>
        </w:rPr>
        <w:t>szakirodalom</w:t>
      </w:r>
      <w:proofErr w:type="gramEnd"/>
      <w:r w:rsidRPr="00696A02">
        <w:rPr>
          <w:rFonts w:cs="Times New Roman"/>
          <w:b/>
          <w:color w:val="7030A0"/>
          <w:sz w:val="20"/>
          <w:szCs w:val="20"/>
          <w:u w:val="single"/>
        </w:rPr>
        <w:t>:</w:t>
      </w:r>
    </w:p>
    <w:p w:rsidR="002C7638" w:rsidRPr="00696A02" w:rsidRDefault="002C7638" w:rsidP="002C7638">
      <w:pPr>
        <w:rPr>
          <w:rFonts w:cs="Times New Roman"/>
          <w:color w:val="7030A0"/>
          <w:sz w:val="20"/>
          <w:szCs w:val="20"/>
        </w:rPr>
      </w:pPr>
      <w:proofErr w:type="spellStart"/>
      <w:r w:rsidRPr="00696A02">
        <w:rPr>
          <w:rFonts w:cs="Times New Roman"/>
          <w:b/>
          <w:color w:val="7030A0"/>
          <w:sz w:val="20"/>
          <w:szCs w:val="20"/>
        </w:rPr>
        <w:t>Bagdy</w:t>
      </w:r>
      <w:proofErr w:type="spellEnd"/>
      <w:r w:rsidRPr="00696A02">
        <w:rPr>
          <w:rFonts w:cs="Times New Roman"/>
          <w:b/>
          <w:color w:val="7030A0"/>
          <w:sz w:val="20"/>
          <w:szCs w:val="20"/>
        </w:rPr>
        <w:t xml:space="preserve"> Emőke </w:t>
      </w:r>
      <w:r w:rsidR="00BD0482">
        <w:rPr>
          <w:rFonts w:cs="Times New Roman"/>
          <w:color w:val="7030A0"/>
          <w:sz w:val="20"/>
          <w:szCs w:val="20"/>
        </w:rPr>
        <w:t>(</w:t>
      </w:r>
      <w:r w:rsidRPr="00696A02">
        <w:rPr>
          <w:rFonts w:cs="Times New Roman"/>
          <w:color w:val="7030A0"/>
          <w:sz w:val="20"/>
          <w:szCs w:val="20"/>
        </w:rPr>
        <w:t xml:space="preserve">1997): </w:t>
      </w:r>
      <w:proofErr w:type="spellStart"/>
      <w:r w:rsidRPr="00696A02">
        <w:rPr>
          <w:rFonts w:cs="Times New Roman"/>
          <w:color w:val="7030A0"/>
          <w:sz w:val="20"/>
          <w:szCs w:val="20"/>
        </w:rPr>
        <w:t>Pszichofitness</w:t>
      </w:r>
      <w:proofErr w:type="spellEnd"/>
      <w:r w:rsidRPr="00696A02">
        <w:rPr>
          <w:rFonts w:cs="Times New Roman"/>
          <w:color w:val="7030A0"/>
          <w:sz w:val="20"/>
          <w:szCs w:val="20"/>
        </w:rPr>
        <w:t xml:space="preserve">. </w:t>
      </w:r>
      <w:proofErr w:type="spellStart"/>
      <w:r w:rsidRPr="00696A02">
        <w:rPr>
          <w:rFonts w:cs="Times New Roman"/>
          <w:color w:val="7030A0"/>
          <w:sz w:val="20"/>
          <w:szCs w:val="20"/>
        </w:rPr>
        <w:t>Animula</w:t>
      </w:r>
      <w:proofErr w:type="spellEnd"/>
      <w:r w:rsidRPr="00696A02">
        <w:rPr>
          <w:rFonts w:cs="Times New Roman"/>
          <w:color w:val="7030A0"/>
          <w:sz w:val="20"/>
          <w:szCs w:val="20"/>
        </w:rPr>
        <w:t xml:space="preserve"> K</w:t>
      </w:r>
      <w:proofErr w:type="gramStart"/>
      <w:r w:rsidRPr="00696A02">
        <w:rPr>
          <w:rFonts w:cs="Times New Roman"/>
          <w:color w:val="7030A0"/>
          <w:sz w:val="20"/>
          <w:szCs w:val="20"/>
        </w:rPr>
        <w:t>.,</w:t>
      </w:r>
      <w:proofErr w:type="gramEnd"/>
      <w:r w:rsidRPr="00696A02">
        <w:rPr>
          <w:rFonts w:cs="Times New Roman"/>
          <w:color w:val="7030A0"/>
          <w:sz w:val="20"/>
          <w:szCs w:val="20"/>
        </w:rPr>
        <w:t xml:space="preserve"> Bp.</w:t>
      </w:r>
    </w:p>
    <w:p w:rsidR="002C7638" w:rsidRPr="00696A02" w:rsidRDefault="002C7638" w:rsidP="002C7638">
      <w:pPr>
        <w:rPr>
          <w:rFonts w:cs="Times New Roman"/>
          <w:color w:val="7030A0"/>
          <w:sz w:val="20"/>
          <w:szCs w:val="20"/>
        </w:rPr>
      </w:pPr>
      <w:r w:rsidRPr="00696A02">
        <w:rPr>
          <w:rFonts w:cs="Times New Roman"/>
          <w:b/>
          <w:color w:val="7030A0"/>
          <w:sz w:val="20"/>
          <w:szCs w:val="20"/>
        </w:rPr>
        <w:t xml:space="preserve">Buda Béla </w:t>
      </w:r>
      <w:r w:rsidRPr="00696A02">
        <w:rPr>
          <w:rFonts w:cs="Times New Roman"/>
          <w:color w:val="7030A0"/>
          <w:sz w:val="20"/>
          <w:szCs w:val="20"/>
        </w:rPr>
        <w:t>(2003): Az iskolai nevelés - a lélek védelmében - Az iskolai mentálhigiéné</w:t>
      </w:r>
      <w:r w:rsidRPr="00696A02">
        <w:rPr>
          <w:rFonts w:cs="Times New Roman"/>
          <w:b/>
          <w:color w:val="7030A0"/>
          <w:sz w:val="20"/>
          <w:szCs w:val="20"/>
        </w:rPr>
        <w:t xml:space="preserve"> </w:t>
      </w:r>
      <w:r w:rsidR="00BD0482">
        <w:rPr>
          <w:rFonts w:cs="Times New Roman"/>
          <w:color w:val="7030A0"/>
          <w:sz w:val="20"/>
          <w:szCs w:val="20"/>
        </w:rPr>
        <w:t>alapelvei</w:t>
      </w:r>
      <w:r w:rsidRPr="00696A02">
        <w:rPr>
          <w:rFonts w:cs="Times New Roman"/>
          <w:color w:val="7030A0"/>
          <w:sz w:val="20"/>
          <w:szCs w:val="20"/>
        </w:rPr>
        <w:t xml:space="preserve">. Nemzeti Tankönyvkiadó, </w:t>
      </w:r>
      <w:proofErr w:type="spellStart"/>
      <w:proofErr w:type="gramStart"/>
      <w:r w:rsidRPr="00696A02">
        <w:rPr>
          <w:rFonts w:cs="Times New Roman"/>
          <w:color w:val="7030A0"/>
          <w:sz w:val="20"/>
          <w:szCs w:val="20"/>
        </w:rPr>
        <w:t>Bp</w:t>
      </w:r>
      <w:proofErr w:type="spellEnd"/>
      <w:r w:rsidR="00BD0482">
        <w:rPr>
          <w:rFonts w:cs="Times New Roman"/>
          <w:color w:val="7030A0"/>
          <w:sz w:val="20"/>
          <w:szCs w:val="20"/>
        </w:rPr>
        <w:t xml:space="preserve"> .</w:t>
      </w:r>
      <w:proofErr w:type="gramEnd"/>
      <w:r w:rsidR="00BD0482">
        <w:rPr>
          <w:rFonts w:cs="Times New Roman"/>
          <w:color w:val="7030A0"/>
          <w:sz w:val="20"/>
          <w:szCs w:val="20"/>
        </w:rPr>
        <w:t xml:space="preserve"> </w:t>
      </w:r>
      <w:r w:rsidRPr="00696A02">
        <w:rPr>
          <w:rFonts w:cs="Times New Roman"/>
          <w:color w:val="7030A0"/>
          <w:sz w:val="20"/>
          <w:szCs w:val="20"/>
        </w:rPr>
        <w:t xml:space="preserve"> </w:t>
      </w:r>
    </w:p>
    <w:p w:rsidR="00D94CEE" w:rsidRPr="00696A02" w:rsidRDefault="00D94CEE" w:rsidP="002C7638">
      <w:pPr>
        <w:rPr>
          <w:rFonts w:cs="Times New Roman"/>
          <w:b/>
          <w:color w:val="7030A0"/>
          <w:sz w:val="20"/>
          <w:szCs w:val="20"/>
          <w:u w:val="single"/>
        </w:rPr>
      </w:pPr>
      <w:proofErr w:type="gramStart"/>
      <w:r w:rsidRPr="00696A02">
        <w:rPr>
          <w:rFonts w:cs="Times New Roman"/>
          <w:b/>
          <w:color w:val="7030A0"/>
          <w:sz w:val="20"/>
          <w:szCs w:val="20"/>
          <w:u w:val="single"/>
        </w:rPr>
        <w:t>ajánlott</w:t>
      </w:r>
      <w:proofErr w:type="gramEnd"/>
      <w:r w:rsidRPr="00696A02">
        <w:rPr>
          <w:rFonts w:cs="Times New Roman"/>
          <w:b/>
          <w:color w:val="7030A0"/>
          <w:sz w:val="20"/>
          <w:szCs w:val="20"/>
          <w:u w:val="single"/>
        </w:rPr>
        <w:t xml:space="preserve"> irodalom:</w:t>
      </w:r>
    </w:p>
    <w:p w:rsidR="00D94CEE" w:rsidRPr="00696A02" w:rsidRDefault="00D94CEE" w:rsidP="002C7638">
      <w:pPr>
        <w:rPr>
          <w:rFonts w:cs="Times New Roman"/>
          <w:color w:val="7030A0"/>
          <w:sz w:val="20"/>
          <w:szCs w:val="20"/>
        </w:rPr>
      </w:pPr>
      <w:r w:rsidRPr="00696A02">
        <w:rPr>
          <w:rFonts w:cs="Times New Roman"/>
          <w:color w:val="7030A0"/>
          <w:sz w:val="20"/>
          <w:szCs w:val="20"/>
        </w:rPr>
        <w:t>Buda Béla (2003):</w:t>
      </w:r>
      <w:r w:rsidR="00BD0482">
        <w:rPr>
          <w:rFonts w:cs="Times New Roman"/>
          <w:color w:val="7030A0"/>
          <w:sz w:val="20"/>
          <w:szCs w:val="20"/>
        </w:rPr>
        <w:t xml:space="preserve"> </w:t>
      </w:r>
      <w:r w:rsidRPr="00696A02">
        <w:rPr>
          <w:rFonts w:cs="Times New Roman"/>
          <w:color w:val="7030A0"/>
          <w:sz w:val="20"/>
          <w:szCs w:val="20"/>
        </w:rPr>
        <w:t>A lélek egészsége. A mentálhigiéné alapkérdései. Nemzeti Tankönyvkiadó. Bp.</w:t>
      </w:r>
    </w:p>
    <w:p w:rsidR="002C7638" w:rsidRPr="00696A02" w:rsidRDefault="002C7638" w:rsidP="002C7638">
      <w:pPr>
        <w:rPr>
          <w:rFonts w:cs="Times New Roman"/>
          <w:color w:val="7030A0"/>
          <w:sz w:val="20"/>
          <w:szCs w:val="20"/>
        </w:rPr>
      </w:pPr>
      <w:proofErr w:type="spellStart"/>
      <w:r w:rsidRPr="00696A02">
        <w:rPr>
          <w:rFonts w:cs="Times New Roman"/>
          <w:color w:val="7030A0"/>
          <w:sz w:val="20"/>
          <w:szCs w:val="20"/>
        </w:rPr>
        <w:t>Gerevich</w:t>
      </w:r>
      <w:proofErr w:type="spellEnd"/>
      <w:r w:rsidRPr="00696A02">
        <w:rPr>
          <w:rFonts w:cs="Times New Roman"/>
          <w:color w:val="7030A0"/>
          <w:sz w:val="20"/>
          <w:szCs w:val="20"/>
        </w:rPr>
        <w:t xml:space="preserve"> József</w:t>
      </w:r>
      <w:r w:rsidRPr="00696A02">
        <w:rPr>
          <w:rFonts w:cs="Times New Roman"/>
          <w:b/>
          <w:color w:val="7030A0"/>
          <w:sz w:val="20"/>
          <w:szCs w:val="20"/>
        </w:rPr>
        <w:t xml:space="preserve"> </w:t>
      </w:r>
      <w:r w:rsidRPr="00696A02">
        <w:rPr>
          <w:rFonts w:cs="Times New Roman"/>
          <w:color w:val="7030A0"/>
          <w:sz w:val="20"/>
          <w:szCs w:val="20"/>
        </w:rPr>
        <w:t>(szerk.)(1998): Közösségi mentálhigiéné. Gondolat K</w:t>
      </w:r>
      <w:proofErr w:type="gramStart"/>
      <w:r w:rsidRPr="00696A02">
        <w:rPr>
          <w:rFonts w:cs="Times New Roman"/>
          <w:color w:val="7030A0"/>
          <w:sz w:val="20"/>
          <w:szCs w:val="20"/>
        </w:rPr>
        <w:t>.,</w:t>
      </w:r>
      <w:proofErr w:type="gramEnd"/>
      <w:r w:rsidRPr="00696A02">
        <w:rPr>
          <w:rFonts w:cs="Times New Roman"/>
          <w:color w:val="7030A0"/>
          <w:sz w:val="20"/>
          <w:szCs w:val="20"/>
        </w:rPr>
        <w:t xml:space="preserve"> Bp.</w:t>
      </w:r>
    </w:p>
    <w:p w:rsidR="002C7638" w:rsidRPr="00696A02" w:rsidRDefault="002C7638" w:rsidP="002C7638">
      <w:pPr>
        <w:rPr>
          <w:rFonts w:cs="Times New Roman"/>
          <w:color w:val="7030A0"/>
          <w:sz w:val="20"/>
          <w:szCs w:val="20"/>
        </w:rPr>
      </w:pPr>
      <w:r w:rsidRPr="00696A02">
        <w:rPr>
          <w:rFonts w:cs="Times New Roman"/>
          <w:color w:val="7030A0"/>
          <w:sz w:val="20"/>
          <w:szCs w:val="20"/>
        </w:rPr>
        <w:t>Járó Katalin</w:t>
      </w:r>
      <w:r w:rsidRPr="00696A02">
        <w:rPr>
          <w:rFonts w:cs="Times New Roman"/>
          <w:b/>
          <w:color w:val="7030A0"/>
          <w:sz w:val="20"/>
          <w:szCs w:val="20"/>
        </w:rPr>
        <w:t xml:space="preserve"> </w:t>
      </w:r>
      <w:r w:rsidRPr="00696A02">
        <w:rPr>
          <w:rFonts w:cs="Times New Roman"/>
          <w:color w:val="7030A0"/>
          <w:sz w:val="20"/>
          <w:szCs w:val="20"/>
        </w:rPr>
        <w:t xml:space="preserve">(szerk.)(1999): Játszmák nélkül. Helikon K </w:t>
      </w:r>
    </w:p>
    <w:p w:rsidR="002C7638" w:rsidRPr="00696A02" w:rsidRDefault="002C7638" w:rsidP="002C7638">
      <w:pPr>
        <w:rPr>
          <w:rFonts w:cs="Times New Roman"/>
          <w:color w:val="7030A0"/>
          <w:sz w:val="20"/>
          <w:szCs w:val="20"/>
          <w:u w:val="single"/>
        </w:rPr>
      </w:pPr>
      <w:r w:rsidRPr="00696A02">
        <w:rPr>
          <w:rFonts w:cs="Times New Roman"/>
          <w:b/>
          <w:color w:val="7030A0"/>
          <w:sz w:val="20"/>
          <w:szCs w:val="20"/>
          <w:u w:val="single"/>
        </w:rPr>
        <w:t>Követelmények:</w:t>
      </w:r>
    </w:p>
    <w:p w:rsidR="002C7638" w:rsidRPr="00696A02" w:rsidRDefault="002C7638" w:rsidP="002C7638">
      <w:pPr>
        <w:pStyle w:val="Listaszerbekezds"/>
        <w:numPr>
          <w:ilvl w:val="0"/>
          <w:numId w:val="1"/>
        </w:numPr>
        <w:rPr>
          <w:rFonts w:cs="Times New Roman"/>
          <w:color w:val="7030A0"/>
          <w:sz w:val="20"/>
          <w:szCs w:val="20"/>
        </w:rPr>
      </w:pPr>
      <w:r w:rsidRPr="00696A02">
        <w:rPr>
          <w:rFonts w:cs="Times New Roman"/>
          <w:color w:val="7030A0"/>
          <w:sz w:val="20"/>
          <w:szCs w:val="20"/>
        </w:rPr>
        <w:t>Aktív részvétel</w:t>
      </w:r>
    </w:p>
    <w:p w:rsidR="002C7638" w:rsidRPr="00696A02" w:rsidRDefault="002C7638" w:rsidP="002C7638">
      <w:pPr>
        <w:pStyle w:val="Listaszerbekezds"/>
        <w:numPr>
          <w:ilvl w:val="0"/>
          <w:numId w:val="1"/>
        </w:numPr>
        <w:rPr>
          <w:rFonts w:cs="Times New Roman"/>
          <w:color w:val="7030A0"/>
          <w:sz w:val="20"/>
          <w:szCs w:val="20"/>
        </w:rPr>
      </w:pPr>
      <w:r w:rsidRPr="00696A02">
        <w:rPr>
          <w:rFonts w:cs="Times New Roman"/>
          <w:color w:val="7030A0"/>
          <w:sz w:val="20"/>
          <w:szCs w:val="20"/>
        </w:rPr>
        <w:t>szakirodalmi beszámoló</w:t>
      </w:r>
    </w:p>
    <w:p w:rsidR="00035E97" w:rsidRPr="00696A02" w:rsidRDefault="00696A02" w:rsidP="00035E97">
      <w:pPr>
        <w:pStyle w:val="Listaszerbekezds"/>
        <w:numPr>
          <w:ilvl w:val="0"/>
          <w:numId w:val="1"/>
        </w:numPr>
        <w:rPr>
          <w:rFonts w:cs="Times New Roman"/>
          <w:color w:val="7030A0"/>
          <w:sz w:val="20"/>
          <w:szCs w:val="20"/>
        </w:rPr>
      </w:pPr>
      <w:r w:rsidRPr="00696A02">
        <w:rPr>
          <w:rFonts w:cs="Times New Roman"/>
          <w:color w:val="7030A0"/>
          <w:sz w:val="20"/>
          <w:szCs w:val="20"/>
        </w:rPr>
        <w:t xml:space="preserve">A felnőtté válás problémái és </w:t>
      </w:r>
      <w:r w:rsidR="00D94CEE" w:rsidRPr="00696A02">
        <w:rPr>
          <w:rFonts w:cs="Times New Roman"/>
          <w:color w:val="7030A0"/>
          <w:sz w:val="20"/>
          <w:szCs w:val="20"/>
        </w:rPr>
        <w:t>kihívásai</w:t>
      </w:r>
      <w:r w:rsidR="00035E97" w:rsidRPr="00696A02">
        <w:rPr>
          <w:rFonts w:cs="Times New Roman"/>
          <w:color w:val="7030A0"/>
          <w:sz w:val="20"/>
          <w:szCs w:val="20"/>
        </w:rPr>
        <w:t xml:space="preserve"> (</w:t>
      </w:r>
      <w:proofErr w:type="gramStart"/>
      <w:r w:rsidR="00035E97" w:rsidRPr="00696A02">
        <w:rPr>
          <w:rFonts w:cs="Times New Roman"/>
          <w:color w:val="7030A0"/>
          <w:sz w:val="20"/>
          <w:szCs w:val="20"/>
        </w:rPr>
        <w:t>Interjú</w:t>
      </w:r>
      <w:r w:rsidR="00636C68" w:rsidRPr="00696A02">
        <w:rPr>
          <w:rFonts w:cs="Times New Roman"/>
          <w:color w:val="7030A0"/>
          <w:sz w:val="20"/>
          <w:szCs w:val="20"/>
        </w:rPr>
        <w:t xml:space="preserve"> </w:t>
      </w:r>
      <w:r w:rsidR="00BD0482">
        <w:rPr>
          <w:rFonts w:cs="Times New Roman"/>
          <w:color w:val="7030A0"/>
          <w:sz w:val="20"/>
          <w:szCs w:val="20"/>
        </w:rPr>
        <w:t>készítés</w:t>
      </w:r>
      <w:proofErr w:type="gramEnd"/>
      <w:r w:rsidR="00BD0482">
        <w:rPr>
          <w:rFonts w:cs="Times New Roman"/>
          <w:color w:val="7030A0"/>
          <w:sz w:val="20"/>
          <w:szCs w:val="20"/>
        </w:rPr>
        <w:t xml:space="preserve"> </w:t>
      </w:r>
      <w:r w:rsidR="00636C68" w:rsidRPr="00696A02">
        <w:rPr>
          <w:rFonts w:cs="Times New Roman"/>
          <w:color w:val="7030A0"/>
          <w:sz w:val="20"/>
          <w:szCs w:val="20"/>
        </w:rPr>
        <w:t>végzős középiskolással vagy kezdő egyetemistával;</w:t>
      </w:r>
      <w:r w:rsidR="00BD0482">
        <w:rPr>
          <w:rFonts w:cs="Times New Roman"/>
          <w:color w:val="7030A0"/>
          <w:sz w:val="20"/>
          <w:szCs w:val="20"/>
        </w:rPr>
        <w:t xml:space="preserve"> </w:t>
      </w:r>
      <w:r w:rsidR="00035E97" w:rsidRPr="00696A02">
        <w:rPr>
          <w:rFonts w:cs="Times New Roman"/>
          <w:color w:val="7030A0"/>
          <w:sz w:val="20"/>
          <w:szCs w:val="20"/>
        </w:rPr>
        <w:t>javasolt szempontok:az interjú alany életkora, neme, tanulmányai, munkája, attitűdje</w:t>
      </w:r>
      <w:r w:rsidR="00636C68" w:rsidRPr="00696A02">
        <w:rPr>
          <w:rFonts w:cs="Times New Roman"/>
          <w:color w:val="7030A0"/>
          <w:sz w:val="20"/>
          <w:szCs w:val="20"/>
        </w:rPr>
        <w:t>;</w:t>
      </w:r>
      <w:r w:rsidR="00D94CEE" w:rsidRPr="00696A02">
        <w:rPr>
          <w:rFonts w:cs="Times New Roman"/>
          <w:color w:val="7030A0"/>
          <w:sz w:val="20"/>
          <w:szCs w:val="20"/>
        </w:rPr>
        <w:t xml:space="preserve"> családi ka</w:t>
      </w:r>
      <w:r w:rsidR="00636C68" w:rsidRPr="00696A02">
        <w:rPr>
          <w:rFonts w:cs="Times New Roman"/>
          <w:color w:val="7030A0"/>
          <w:sz w:val="20"/>
          <w:szCs w:val="20"/>
        </w:rPr>
        <w:t>pcsolataiban történő változások; kortársainak hatása; helye, szerepe a közösségekben; problémái-kihez fordul azokkal;</w:t>
      </w:r>
      <w:r w:rsidR="00035E97" w:rsidRPr="00696A02">
        <w:rPr>
          <w:rFonts w:cs="Times New Roman"/>
          <w:color w:val="7030A0"/>
          <w:sz w:val="20"/>
          <w:szCs w:val="20"/>
        </w:rPr>
        <w:t xml:space="preserve"> és saját reflexiói az elhangzottakra)</w:t>
      </w:r>
      <w:r>
        <w:rPr>
          <w:rFonts w:cs="Times New Roman"/>
          <w:color w:val="7030A0"/>
          <w:sz w:val="20"/>
          <w:szCs w:val="20"/>
        </w:rPr>
        <w:t xml:space="preserve"> beadás: április 15.</w:t>
      </w:r>
    </w:p>
    <w:p w:rsidR="002C7638" w:rsidRPr="00696A02" w:rsidRDefault="002C7638" w:rsidP="002C7638">
      <w:pPr>
        <w:rPr>
          <w:rFonts w:cs="Times New Roman"/>
          <w:color w:val="7030A0"/>
          <w:sz w:val="20"/>
          <w:szCs w:val="20"/>
        </w:rPr>
      </w:pPr>
    </w:p>
    <w:p w:rsidR="002C7638" w:rsidRPr="00696A02" w:rsidRDefault="002C7638" w:rsidP="002C7638">
      <w:pPr>
        <w:jc w:val="right"/>
        <w:rPr>
          <w:rFonts w:cs="Times New Roman"/>
          <w:color w:val="7030A0"/>
          <w:sz w:val="20"/>
          <w:szCs w:val="20"/>
        </w:rPr>
      </w:pPr>
      <w:r w:rsidRPr="00696A02">
        <w:rPr>
          <w:rFonts w:cs="Times New Roman"/>
          <w:color w:val="7030A0"/>
          <w:sz w:val="20"/>
          <w:szCs w:val="20"/>
        </w:rPr>
        <w:t>Veressné dr. Gönczi Ibolya</w:t>
      </w:r>
    </w:p>
    <w:p w:rsidR="002C7638" w:rsidRPr="00696A02" w:rsidRDefault="002C7638" w:rsidP="002C7638">
      <w:pPr>
        <w:jc w:val="right"/>
        <w:rPr>
          <w:rFonts w:cs="Times New Roman"/>
          <w:color w:val="7030A0"/>
          <w:sz w:val="20"/>
          <w:szCs w:val="20"/>
        </w:rPr>
      </w:pPr>
      <w:proofErr w:type="gramStart"/>
      <w:r w:rsidRPr="00696A02">
        <w:rPr>
          <w:rFonts w:cs="Times New Roman"/>
          <w:color w:val="7030A0"/>
          <w:sz w:val="20"/>
          <w:szCs w:val="20"/>
        </w:rPr>
        <w:t>egyetemi</w:t>
      </w:r>
      <w:proofErr w:type="gramEnd"/>
      <w:r w:rsidRPr="00696A02">
        <w:rPr>
          <w:rFonts w:cs="Times New Roman"/>
          <w:color w:val="7030A0"/>
          <w:sz w:val="20"/>
          <w:szCs w:val="20"/>
        </w:rPr>
        <w:t xml:space="preserve"> docens</w:t>
      </w:r>
    </w:p>
    <w:p w:rsidR="002C7638" w:rsidRPr="00696A02" w:rsidRDefault="002C7638" w:rsidP="002C7638">
      <w:pPr>
        <w:rPr>
          <w:rFonts w:cs="Times New Roman"/>
          <w:color w:val="7030A0"/>
          <w:sz w:val="20"/>
          <w:szCs w:val="20"/>
        </w:rPr>
      </w:pPr>
    </w:p>
    <w:p w:rsidR="002C7638" w:rsidRPr="00696A02" w:rsidRDefault="002C7638" w:rsidP="002C7638">
      <w:pPr>
        <w:rPr>
          <w:rFonts w:cs="Times New Roman"/>
          <w:color w:val="7030A0"/>
          <w:sz w:val="20"/>
          <w:szCs w:val="20"/>
        </w:rPr>
      </w:pPr>
    </w:p>
    <w:p w:rsidR="002C7638" w:rsidRPr="00696A02" w:rsidRDefault="002C7638" w:rsidP="002C7638">
      <w:pPr>
        <w:rPr>
          <w:rFonts w:cs="Times New Roman"/>
          <w:color w:val="7030A0"/>
          <w:sz w:val="20"/>
          <w:szCs w:val="20"/>
        </w:rPr>
      </w:pPr>
    </w:p>
    <w:p w:rsidR="002C7638" w:rsidRPr="00696A02" w:rsidRDefault="002C7638" w:rsidP="002C7638">
      <w:pPr>
        <w:rPr>
          <w:rFonts w:cs="Times New Roman"/>
          <w:color w:val="7030A0"/>
          <w:sz w:val="20"/>
          <w:szCs w:val="20"/>
        </w:rPr>
      </w:pPr>
    </w:p>
    <w:p w:rsidR="001C6129" w:rsidRPr="00696A02" w:rsidRDefault="001C6129">
      <w:pPr>
        <w:rPr>
          <w:rFonts w:cs="Times New Roman"/>
          <w:color w:val="7030A0"/>
          <w:sz w:val="20"/>
          <w:szCs w:val="20"/>
        </w:rPr>
      </w:pPr>
    </w:p>
    <w:sectPr w:rsidR="001C6129" w:rsidRPr="00696A02" w:rsidSect="00F9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2364"/>
    <w:multiLevelType w:val="hybridMultilevel"/>
    <w:tmpl w:val="2046776C"/>
    <w:lvl w:ilvl="0" w:tplc="0722F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38"/>
    <w:rsid w:val="00035E97"/>
    <w:rsid w:val="000945F5"/>
    <w:rsid w:val="001C6129"/>
    <w:rsid w:val="002C7638"/>
    <w:rsid w:val="003812AC"/>
    <w:rsid w:val="003D7617"/>
    <w:rsid w:val="00554BF8"/>
    <w:rsid w:val="00636C68"/>
    <w:rsid w:val="00696A02"/>
    <w:rsid w:val="00A402F8"/>
    <w:rsid w:val="00BD0482"/>
    <w:rsid w:val="00D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63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C763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C763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C7638"/>
    <w:pPr>
      <w:ind w:left="720"/>
      <w:contextualSpacing/>
    </w:pPr>
  </w:style>
  <w:style w:type="table" w:styleId="Rcsostblzat">
    <w:name w:val="Table Grid"/>
    <w:basedOn w:val="Normltblzat"/>
    <w:uiPriority w:val="59"/>
    <w:rsid w:val="002C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63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C763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C763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C7638"/>
    <w:pPr>
      <w:ind w:left="720"/>
      <w:contextualSpacing/>
    </w:pPr>
  </w:style>
  <w:style w:type="table" w:styleId="Rcsostblzat">
    <w:name w:val="Table Grid"/>
    <w:basedOn w:val="Normltblzat"/>
    <w:uiPriority w:val="59"/>
    <w:rsid w:val="002C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VGI</cp:lastModifiedBy>
  <cp:revision>4</cp:revision>
  <cp:lastPrinted>2019-02-07T18:20:00Z</cp:lastPrinted>
  <dcterms:created xsi:type="dcterms:W3CDTF">2019-02-07T15:31:00Z</dcterms:created>
  <dcterms:modified xsi:type="dcterms:W3CDTF">2019-02-10T16:42:00Z</dcterms:modified>
</cp:coreProperties>
</file>