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C" w:rsidRDefault="002A555C" w:rsidP="00FA657A">
      <w:pPr>
        <w:jc w:val="center"/>
        <w:rPr>
          <w:rFonts w:cs="Times New Roman"/>
          <w:b/>
          <w:color w:val="7030A0"/>
          <w:sz w:val="20"/>
          <w:szCs w:val="20"/>
        </w:rPr>
      </w:pPr>
    </w:p>
    <w:p w:rsidR="00FA657A" w:rsidRPr="00696A02" w:rsidRDefault="00FA657A" w:rsidP="00FA657A">
      <w:pPr>
        <w:jc w:val="center"/>
        <w:rPr>
          <w:rFonts w:cs="Times New Roman"/>
          <w:b/>
          <w:color w:val="7030A0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color w:val="7030A0"/>
          <w:sz w:val="20"/>
          <w:szCs w:val="20"/>
        </w:rPr>
        <w:t>PREVENCIÓS MUNKA</w:t>
      </w:r>
    </w:p>
    <w:p w:rsidR="00FA657A" w:rsidRPr="00696A02" w:rsidRDefault="00FA657A" w:rsidP="00FA657A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BTED</w:t>
      </w:r>
      <w:r>
        <w:rPr>
          <w:rFonts w:cs="Times New Roman"/>
          <w:b/>
          <w:color w:val="7030A0"/>
          <w:sz w:val="20"/>
          <w:szCs w:val="20"/>
        </w:rPr>
        <w:t>423BA-K3</w:t>
      </w:r>
    </w:p>
    <w:p w:rsidR="00FA657A" w:rsidRPr="00696A02" w:rsidRDefault="00FA657A" w:rsidP="00FA657A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 xml:space="preserve">(pedagógia </w:t>
      </w:r>
      <w:proofErr w:type="spellStart"/>
      <w:r w:rsidRPr="00696A02">
        <w:rPr>
          <w:rFonts w:cs="Times New Roman"/>
          <w:b/>
          <w:color w:val="7030A0"/>
          <w:sz w:val="20"/>
          <w:szCs w:val="20"/>
        </w:rPr>
        <w:t>nev.spec</w:t>
      </w:r>
      <w:proofErr w:type="spellEnd"/>
      <w:r w:rsidRPr="00696A02">
        <w:rPr>
          <w:rFonts w:cs="Times New Roman"/>
          <w:b/>
          <w:color w:val="7030A0"/>
          <w:sz w:val="20"/>
          <w:szCs w:val="20"/>
        </w:rPr>
        <w:t>.)</w:t>
      </w:r>
    </w:p>
    <w:p w:rsidR="00FA657A" w:rsidRPr="00696A02" w:rsidRDefault="00FA657A" w:rsidP="00FA657A">
      <w:pPr>
        <w:jc w:val="center"/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2018/2019. tanév II. félév</w:t>
      </w:r>
    </w:p>
    <w:p w:rsidR="00FA657A" w:rsidRPr="00696A02" w:rsidRDefault="00FA657A" w:rsidP="00FA657A">
      <w:pPr>
        <w:jc w:val="right"/>
        <w:rPr>
          <w:rFonts w:cs="Times New Roman"/>
          <w:b/>
          <w:color w:val="7030A0"/>
          <w:sz w:val="20"/>
          <w:szCs w:val="20"/>
        </w:rPr>
      </w:pPr>
      <w:r>
        <w:rPr>
          <w:rFonts w:cs="Times New Roman"/>
          <w:b/>
          <w:color w:val="7030A0"/>
          <w:sz w:val="20"/>
          <w:szCs w:val="20"/>
        </w:rPr>
        <w:t xml:space="preserve"> </w:t>
      </w:r>
      <w:proofErr w:type="gramStart"/>
      <w:r>
        <w:rPr>
          <w:rFonts w:cs="Times New Roman"/>
          <w:b/>
          <w:color w:val="7030A0"/>
          <w:sz w:val="20"/>
          <w:szCs w:val="20"/>
        </w:rPr>
        <w:t>hétfő</w:t>
      </w:r>
      <w:proofErr w:type="gramEnd"/>
      <w:r>
        <w:rPr>
          <w:rFonts w:cs="Times New Roman"/>
          <w:b/>
          <w:color w:val="7030A0"/>
          <w:sz w:val="20"/>
          <w:szCs w:val="20"/>
        </w:rPr>
        <w:t xml:space="preserve"> 10:00-1</w:t>
      </w:r>
      <w:r w:rsidRPr="00696A02">
        <w:rPr>
          <w:rFonts w:cs="Times New Roman"/>
          <w:b/>
          <w:color w:val="7030A0"/>
          <w:sz w:val="20"/>
          <w:szCs w:val="20"/>
        </w:rPr>
        <w:t>1:30  57.terem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7"/>
        <w:gridCol w:w="4713"/>
        <w:gridCol w:w="2667"/>
      </w:tblGrid>
      <w:tr w:rsidR="00FA657A" w:rsidRPr="00696A02" w:rsidTr="009F49FF">
        <w:tc>
          <w:tcPr>
            <w:tcW w:w="6230" w:type="dxa"/>
            <w:gridSpan w:val="2"/>
          </w:tcPr>
          <w:p w:rsidR="00FA657A" w:rsidRPr="00696A02" w:rsidRDefault="00FA657A" w:rsidP="00891FF8">
            <w:pPr>
              <w:jc w:val="center"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b/>
                <w:color w:val="7030A0"/>
                <w:sz w:val="20"/>
                <w:szCs w:val="20"/>
              </w:rPr>
              <w:t>témakör</w:t>
            </w:r>
          </w:p>
        </w:tc>
        <w:tc>
          <w:tcPr>
            <w:tcW w:w="266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b/>
                <w:color w:val="7030A0"/>
                <w:sz w:val="20"/>
                <w:szCs w:val="20"/>
              </w:rPr>
              <w:t>megjegyzés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február 11.</w:t>
            </w:r>
          </w:p>
        </w:tc>
        <w:tc>
          <w:tcPr>
            <w:tcW w:w="4713" w:type="dxa"/>
          </w:tcPr>
          <w:p w:rsidR="00FA657A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Követelmények;</w:t>
            </w:r>
          </w:p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266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18.</w:t>
            </w:r>
          </w:p>
        </w:tc>
        <w:tc>
          <w:tcPr>
            <w:tcW w:w="4713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>, értelmezési keret</w:t>
            </w:r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color w:val="7030A0"/>
                <w:sz w:val="20"/>
                <w:szCs w:val="20"/>
              </w:rPr>
              <w:t>7-19)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25.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Kezelési modellek</w:t>
            </w:r>
          </w:p>
        </w:tc>
        <w:tc>
          <w:tcPr>
            <w:tcW w:w="2667" w:type="dxa"/>
          </w:tcPr>
          <w:p w:rsidR="00FA657A" w:rsidRPr="00696A02" w:rsidRDefault="009F49FF" w:rsidP="009F49FF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(60-66))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március 4.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Viselkedési </w:t>
            </w:r>
            <w:proofErr w:type="spellStart"/>
            <w:r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  <w:r w:rsidR="00FA657A" w:rsidRPr="00696A02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(167-175)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     11.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9F49FF">
              <w:rPr>
                <w:rFonts w:cs="Times New Roman"/>
                <w:color w:val="7030A0"/>
                <w:sz w:val="20"/>
                <w:szCs w:val="20"/>
              </w:rPr>
              <w:t xml:space="preserve">Viselkedési </w:t>
            </w: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(185-215)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 18.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9F49FF">
              <w:rPr>
                <w:rFonts w:cs="Times New Roman"/>
                <w:color w:val="7030A0"/>
                <w:sz w:val="20"/>
                <w:szCs w:val="20"/>
              </w:rPr>
              <w:t xml:space="preserve">Viselkedési </w:t>
            </w: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(231-273)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25.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9F49FF">
              <w:rPr>
                <w:rFonts w:cs="Times New Roman"/>
                <w:color w:val="7030A0"/>
                <w:sz w:val="20"/>
                <w:szCs w:val="20"/>
              </w:rPr>
              <w:t xml:space="preserve">Kémiai </w:t>
            </w: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(19-51)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április 1.</w:t>
            </w:r>
          </w:p>
        </w:tc>
        <w:tc>
          <w:tcPr>
            <w:tcW w:w="4713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66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8.</w:t>
            </w:r>
          </w:p>
        </w:tc>
        <w:tc>
          <w:tcPr>
            <w:tcW w:w="4713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9F49FF">
              <w:rPr>
                <w:rFonts w:cs="Times New Roman"/>
                <w:color w:val="7030A0"/>
                <w:sz w:val="20"/>
                <w:szCs w:val="20"/>
              </w:rPr>
              <w:t xml:space="preserve">Kémiai </w:t>
            </w:r>
            <w:proofErr w:type="spellStart"/>
            <w:r w:rsidRPr="009F49FF">
              <w:rPr>
                <w:rFonts w:cs="Times New Roman"/>
                <w:color w:val="7030A0"/>
                <w:sz w:val="20"/>
                <w:szCs w:val="20"/>
              </w:rPr>
              <w:t>addikciók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(dohány, alkohol)</w:t>
            </w:r>
          </w:p>
        </w:tc>
        <w:tc>
          <w:tcPr>
            <w:tcW w:w="2667" w:type="dxa"/>
          </w:tcPr>
          <w:p w:rsidR="00FA657A" w:rsidRPr="00696A02" w:rsidRDefault="009F49FF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9F49FF">
              <w:rPr>
                <w:rFonts w:cs="Times New Roman"/>
                <w:color w:val="7030A0"/>
                <w:sz w:val="20"/>
                <w:szCs w:val="20"/>
              </w:rPr>
              <w:t>Németh-Gerevich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color w:val="7030A0"/>
                <w:sz w:val="20"/>
                <w:szCs w:val="20"/>
              </w:rPr>
              <w:t>141-166)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15.</w:t>
            </w:r>
          </w:p>
        </w:tc>
        <w:tc>
          <w:tcPr>
            <w:tcW w:w="4713" w:type="dxa"/>
          </w:tcPr>
          <w:p w:rsidR="00FA657A" w:rsidRPr="00696A02" w:rsidRDefault="006810E7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Illegális drogok</w:t>
            </w:r>
            <w:r w:rsidR="00C5352C">
              <w:rPr>
                <w:rFonts w:cs="Times New Roman"/>
                <w:color w:val="7030A0"/>
                <w:sz w:val="20"/>
                <w:szCs w:val="20"/>
              </w:rPr>
              <w:t>-prevenciós programok</w:t>
            </w:r>
          </w:p>
        </w:tc>
        <w:tc>
          <w:tcPr>
            <w:tcW w:w="2667" w:type="dxa"/>
          </w:tcPr>
          <w:p w:rsidR="00C5352C" w:rsidRDefault="00C5352C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Fekete </w:t>
            </w:r>
            <w:r w:rsidR="003A364C">
              <w:rPr>
                <w:rFonts w:cs="Times New Roman"/>
                <w:color w:val="7030A0"/>
                <w:sz w:val="20"/>
                <w:szCs w:val="20"/>
              </w:rPr>
              <w:t>S</w:t>
            </w:r>
            <w:r w:rsidR="006810E7">
              <w:rPr>
                <w:rFonts w:cs="Times New Roman"/>
                <w:color w:val="7030A0"/>
                <w:sz w:val="20"/>
                <w:szCs w:val="20"/>
              </w:rPr>
              <w:t>.</w:t>
            </w:r>
            <w:r w:rsidR="002A555C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önálló feladat beadása</w:t>
            </w: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 xml:space="preserve">          22.</w:t>
            </w:r>
          </w:p>
        </w:tc>
        <w:tc>
          <w:tcPr>
            <w:tcW w:w="4713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HÚSVÉT</w:t>
            </w:r>
          </w:p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66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29.</w:t>
            </w:r>
          </w:p>
        </w:tc>
        <w:tc>
          <w:tcPr>
            <w:tcW w:w="4713" w:type="dxa"/>
          </w:tcPr>
          <w:p w:rsidR="00FA657A" w:rsidRPr="00696A02" w:rsidRDefault="00C5352C" w:rsidP="00FA657A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Látogatás (HBM </w:t>
            </w:r>
            <w:proofErr w:type="spellStart"/>
            <w:r>
              <w:rPr>
                <w:rFonts w:cs="Times New Roman"/>
                <w:color w:val="7030A0"/>
                <w:sz w:val="20"/>
                <w:szCs w:val="20"/>
              </w:rPr>
              <w:t>RFK-prevenciós</w:t>
            </w:r>
            <w:proofErr w:type="spellEnd"/>
            <w:r>
              <w:rPr>
                <w:rFonts w:cs="Times New Roman"/>
                <w:color w:val="7030A0"/>
                <w:sz w:val="20"/>
                <w:szCs w:val="20"/>
              </w:rPr>
              <w:t xml:space="preserve"> munkájuk)</w:t>
            </w:r>
          </w:p>
        </w:tc>
        <w:tc>
          <w:tcPr>
            <w:tcW w:w="266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FA657A" w:rsidRPr="00696A02" w:rsidTr="009F49FF">
        <w:tc>
          <w:tcPr>
            <w:tcW w:w="1517" w:type="dxa"/>
          </w:tcPr>
          <w:p w:rsidR="00FA657A" w:rsidRPr="00696A02" w:rsidRDefault="00FA657A" w:rsidP="00891FF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május 3.                  </w:t>
            </w:r>
          </w:p>
        </w:tc>
        <w:tc>
          <w:tcPr>
            <w:tcW w:w="4713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konzultációs lehetőség</w:t>
            </w:r>
          </w:p>
        </w:tc>
        <w:tc>
          <w:tcPr>
            <w:tcW w:w="2667" w:type="dxa"/>
          </w:tcPr>
          <w:p w:rsidR="00FA657A" w:rsidRPr="00696A02" w:rsidRDefault="00FA657A" w:rsidP="00891F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</w:tbl>
    <w:p w:rsidR="00FA657A" w:rsidRPr="00696A02" w:rsidRDefault="00FA657A" w:rsidP="00FA657A">
      <w:pPr>
        <w:rPr>
          <w:rFonts w:cs="Times New Roman"/>
          <w:b/>
          <w:color w:val="7030A0"/>
          <w:sz w:val="20"/>
          <w:szCs w:val="20"/>
          <w:u w:val="single"/>
        </w:rPr>
      </w:pPr>
      <w:proofErr w:type="gramStart"/>
      <w:r w:rsidRPr="00696A02">
        <w:rPr>
          <w:rFonts w:cs="Times New Roman"/>
          <w:b/>
          <w:color w:val="7030A0"/>
          <w:sz w:val="20"/>
          <w:szCs w:val="20"/>
          <w:u w:val="single"/>
        </w:rPr>
        <w:t>szakirodalom</w:t>
      </w:r>
      <w:proofErr w:type="gramEnd"/>
      <w:r w:rsidRPr="00696A02">
        <w:rPr>
          <w:rFonts w:cs="Times New Roman"/>
          <w:b/>
          <w:color w:val="7030A0"/>
          <w:sz w:val="20"/>
          <w:szCs w:val="20"/>
          <w:u w:val="single"/>
        </w:rPr>
        <w:t>:</w:t>
      </w:r>
    </w:p>
    <w:p w:rsidR="00FA657A" w:rsidRDefault="00FA657A" w:rsidP="00FA657A">
      <w:pPr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Németh </w:t>
      </w:r>
      <w:proofErr w:type="spellStart"/>
      <w:proofErr w:type="gramStart"/>
      <w:r>
        <w:rPr>
          <w:rFonts w:cs="Times New Roman"/>
          <w:color w:val="7030A0"/>
          <w:sz w:val="20"/>
          <w:szCs w:val="20"/>
        </w:rPr>
        <w:t>A</w:t>
      </w:r>
      <w:proofErr w:type="gramEnd"/>
      <w:r>
        <w:rPr>
          <w:rFonts w:cs="Times New Roman"/>
          <w:color w:val="7030A0"/>
          <w:sz w:val="20"/>
          <w:szCs w:val="20"/>
        </w:rPr>
        <w:t>.-Gerevics</w:t>
      </w:r>
      <w:proofErr w:type="spellEnd"/>
      <w:r>
        <w:rPr>
          <w:rFonts w:cs="Times New Roman"/>
          <w:color w:val="7030A0"/>
          <w:sz w:val="20"/>
          <w:szCs w:val="20"/>
        </w:rPr>
        <w:t xml:space="preserve"> J.(2000): </w:t>
      </w:r>
      <w:proofErr w:type="spellStart"/>
      <w:r>
        <w:rPr>
          <w:rFonts w:cs="Times New Roman"/>
          <w:color w:val="7030A0"/>
          <w:sz w:val="20"/>
          <w:szCs w:val="20"/>
        </w:rPr>
        <w:t>Addikciók.</w:t>
      </w:r>
      <w:r w:rsidR="009F49FF">
        <w:rPr>
          <w:rFonts w:cs="Times New Roman"/>
          <w:color w:val="7030A0"/>
          <w:sz w:val="20"/>
          <w:szCs w:val="20"/>
        </w:rPr>
        <w:t>Medicina</w:t>
      </w:r>
      <w:proofErr w:type="spellEnd"/>
      <w:r w:rsidR="009F49FF">
        <w:rPr>
          <w:rFonts w:cs="Times New Roman"/>
          <w:color w:val="7030A0"/>
          <w:sz w:val="20"/>
          <w:szCs w:val="20"/>
        </w:rPr>
        <w:t xml:space="preserve"> K. Bp.</w:t>
      </w:r>
    </w:p>
    <w:p w:rsidR="00C5352C" w:rsidRPr="00696A02" w:rsidRDefault="00C5352C" w:rsidP="00FA657A">
      <w:pPr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Fekete S.(2001): Deviancia és </w:t>
      </w:r>
      <w:proofErr w:type="spellStart"/>
      <w:r>
        <w:rPr>
          <w:rFonts w:cs="Times New Roman"/>
          <w:color w:val="7030A0"/>
          <w:sz w:val="20"/>
          <w:szCs w:val="20"/>
        </w:rPr>
        <w:t>társadalom</w:t>
      </w:r>
      <w:proofErr w:type="gramStart"/>
      <w:r>
        <w:rPr>
          <w:rFonts w:cs="Times New Roman"/>
          <w:color w:val="7030A0"/>
          <w:sz w:val="20"/>
          <w:szCs w:val="20"/>
        </w:rPr>
        <w:t>.Coménius</w:t>
      </w:r>
      <w:proofErr w:type="spellEnd"/>
      <w:proofErr w:type="gramEnd"/>
      <w:r>
        <w:rPr>
          <w:rFonts w:cs="Times New Roman"/>
          <w:color w:val="7030A0"/>
          <w:sz w:val="20"/>
          <w:szCs w:val="20"/>
        </w:rPr>
        <w:t xml:space="preserve"> Bt. Pécs</w:t>
      </w:r>
    </w:p>
    <w:p w:rsidR="00FA657A" w:rsidRDefault="00FA657A" w:rsidP="00FA657A">
      <w:pPr>
        <w:rPr>
          <w:rFonts w:cs="Times New Roman"/>
          <w:b/>
          <w:color w:val="7030A0"/>
          <w:sz w:val="20"/>
          <w:szCs w:val="20"/>
          <w:u w:val="single"/>
        </w:rPr>
      </w:pPr>
      <w:proofErr w:type="gramStart"/>
      <w:r w:rsidRPr="00696A02">
        <w:rPr>
          <w:rFonts w:cs="Times New Roman"/>
          <w:b/>
          <w:color w:val="7030A0"/>
          <w:sz w:val="20"/>
          <w:szCs w:val="20"/>
          <w:u w:val="single"/>
        </w:rPr>
        <w:t>ajánlott</w:t>
      </w:r>
      <w:proofErr w:type="gramEnd"/>
      <w:r w:rsidRPr="00696A02">
        <w:rPr>
          <w:rFonts w:cs="Times New Roman"/>
          <w:b/>
          <w:color w:val="7030A0"/>
          <w:sz w:val="20"/>
          <w:szCs w:val="20"/>
          <w:u w:val="single"/>
        </w:rPr>
        <w:t xml:space="preserve"> irodalom:</w:t>
      </w:r>
    </w:p>
    <w:p w:rsidR="002A555C" w:rsidRPr="002A555C" w:rsidRDefault="002A555C" w:rsidP="00FA657A">
      <w:pPr>
        <w:rPr>
          <w:rFonts w:cs="Times New Roman"/>
          <w:color w:val="7030A0"/>
          <w:sz w:val="20"/>
          <w:szCs w:val="20"/>
        </w:rPr>
      </w:pPr>
      <w:r w:rsidRPr="002A555C">
        <w:rPr>
          <w:rFonts w:cs="Times New Roman"/>
          <w:color w:val="7030A0"/>
          <w:sz w:val="20"/>
          <w:szCs w:val="20"/>
        </w:rPr>
        <w:t xml:space="preserve">Elek </w:t>
      </w:r>
      <w:proofErr w:type="gramStart"/>
      <w:r w:rsidRPr="002A555C">
        <w:rPr>
          <w:rFonts w:cs="Times New Roman"/>
          <w:color w:val="7030A0"/>
          <w:sz w:val="20"/>
          <w:szCs w:val="20"/>
        </w:rPr>
        <w:t>Balázs(</w:t>
      </w:r>
      <w:proofErr w:type="gramEnd"/>
      <w:r w:rsidRPr="002A555C">
        <w:rPr>
          <w:rFonts w:cs="Times New Roman"/>
          <w:color w:val="7030A0"/>
          <w:sz w:val="20"/>
          <w:szCs w:val="20"/>
        </w:rPr>
        <w:t>2008): Diákcsíny vagy bűncselekmény? Pedellus K</w:t>
      </w:r>
      <w:proofErr w:type="gramStart"/>
      <w:r w:rsidRPr="002A555C">
        <w:rPr>
          <w:rFonts w:cs="Times New Roman"/>
          <w:color w:val="7030A0"/>
          <w:sz w:val="20"/>
          <w:szCs w:val="20"/>
        </w:rPr>
        <w:t>.,</w:t>
      </w:r>
      <w:proofErr w:type="gramEnd"/>
      <w:r w:rsidRPr="002A555C">
        <w:rPr>
          <w:rFonts w:cs="Times New Roman"/>
          <w:color w:val="7030A0"/>
          <w:sz w:val="20"/>
          <w:szCs w:val="20"/>
        </w:rPr>
        <w:t xml:space="preserve"> Debrecen</w:t>
      </w:r>
    </w:p>
    <w:p w:rsidR="00C5352C" w:rsidRPr="00C5352C" w:rsidRDefault="00C5352C" w:rsidP="00C5352C">
      <w:pPr>
        <w:rPr>
          <w:color w:val="7030A0"/>
          <w:sz w:val="20"/>
          <w:szCs w:val="20"/>
        </w:rPr>
      </w:pPr>
      <w:r w:rsidRPr="00C5352C">
        <w:rPr>
          <w:color w:val="7030A0"/>
          <w:sz w:val="20"/>
          <w:szCs w:val="20"/>
        </w:rPr>
        <w:t>Kormányrendelet a kábítószer visszaszorításáért (drogstratégia I.-II. 2001., 2013.)</w:t>
      </w:r>
      <w:r w:rsidRPr="00C5352C">
        <w:rPr>
          <w:color w:val="7030A0"/>
        </w:rPr>
        <w:t xml:space="preserve"> </w:t>
      </w:r>
      <w:r w:rsidRPr="00C5352C">
        <w:rPr>
          <w:color w:val="7030A0"/>
          <w:sz w:val="20"/>
          <w:szCs w:val="20"/>
        </w:rPr>
        <w:t>http://www.parlament.hu/irom39/11798/11798.pdf</w:t>
      </w:r>
    </w:p>
    <w:p w:rsidR="00C5352C" w:rsidRPr="00350C3D" w:rsidRDefault="00C5352C" w:rsidP="00C5352C">
      <w:pPr>
        <w:rPr>
          <w:b/>
          <w:sz w:val="20"/>
          <w:szCs w:val="20"/>
        </w:rPr>
      </w:pPr>
      <w:r w:rsidRPr="00C5352C">
        <w:rPr>
          <w:color w:val="7030A0"/>
          <w:sz w:val="20"/>
          <w:szCs w:val="20"/>
        </w:rPr>
        <w:t>1744/2013. (X. 17.) Korm. határozat a Nemzeti Bűnmegelőzési Stratégiáról (2013-2023)</w:t>
      </w:r>
      <w:r w:rsidRPr="00C5352C">
        <w:rPr>
          <w:color w:val="7030A0"/>
        </w:rPr>
        <w:t xml:space="preserve"> </w:t>
      </w:r>
      <w:hyperlink r:id="rId7" w:history="1">
        <w:r w:rsidRPr="00336942">
          <w:rPr>
            <w:rStyle w:val="Hiperhivatkozs"/>
            <w:b/>
            <w:sz w:val="20"/>
            <w:szCs w:val="20"/>
          </w:rPr>
          <w:t>https://net.jogtar.hu/jogszabaly?docid=A13H1744.KOR&amp;txtreferer=00000003.TXT#</w:t>
        </w:r>
      </w:hyperlink>
      <w:r>
        <w:rPr>
          <w:b/>
          <w:sz w:val="20"/>
          <w:szCs w:val="20"/>
        </w:rPr>
        <w:t xml:space="preserve"> </w:t>
      </w:r>
      <w:r w:rsidRPr="00C5352C">
        <w:rPr>
          <w:color w:val="7030A0"/>
          <w:sz w:val="20"/>
          <w:szCs w:val="20"/>
        </w:rPr>
        <w:t>(a 4.3 pontig)</w:t>
      </w:r>
    </w:p>
    <w:p w:rsidR="00C5352C" w:rsidRPr="00696A02" w:rsidRDefault="00C5352C" w:rsidP="00FA657A">
      <w:pPr>
        <w:rPr>
          <w:rFonts w:cs="Times New Roman"/>
          <w:b/>
          <w:color w:val="7030A0"/>
          <w:sz w:val="20"/>
          <w:szCs w:val="20"/>
          <w:u w:val="single"/>
        </w:rPr>
      </w:pP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  <w:u w:val="single"/>
        </w:rPr>
      </w:pPr>
      <w:r w:rsidRPr="00696A02">
        <w:rPr>
          <w:rFonts w:cs="Times New Roman"/>
          <w:b/>
          <w:color w:val="7030A0"/>
          <w:sz w:val="20"/>
          <w:szCs w:val="20"/>
          <w:u w:val="single"/>
        </w:rPr>
        <w:t>Követelmények:</w:t>
      </w:r>
    </w:p>
    <w:p w:rsidR="00FA657A" w:rsidRPr="00696A02" w:rsidRDefault="00FA657A" w:rsidP="00FA657A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Aktív részvétel</w:t>
      </w:r>
    </w:p>
    <w:p w:rsidR="00FA657A" w:rsidRPr="00696A02" w:rsidRDefault="00FA657A" w:rsidP="00FA657A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szakirodalmi beszámoló</w:t>
      </w:r>
    </w:p>
    <w:p w:rsidR="00FA657A" w:rsidRPr="00696A02" w:rsidRDefault="00FA657A" w:rsidP="00FA657A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FA657A">
        <w:rPr>
          <w:rFonts w:cs="Times New Roman"/>
          <w:color w:val="7030A0"/>
          <w:sz w:val="20"/>
          <w:szCs w:val="20"/>
        </w:rPr>
        <w:t>A problémás szerhasználat/viselkedés háttere (Interjú</w:t>
      </w:r>
      <w:proofErr w:type="gramStart"/>
      <w:r w:rsidRPr="00FA657A">
        <w:rPr>
          <w:rFonts w:cs="Times New Roman"/>
          <w:color w:val="7030A0"/>
          <w:sz w:val="20"/>
          <w:szCs w:val="20"/>
        </w:rPr>
        <w:t>;javasolt</w:t>
      </w:r>
      <w:proofErr w:type="gramEnd"/>
      <w:r w:rsidRPr="00FA657A">
        <w:rPr>
          <w:rFonts w:cs="Times New Roman"/>
          <w:color w:val="7030A0"/>
          <w:sz w:val="20"/>
          <w:szCs w:val="20"/>
        </w:rPr>
        <w:t xml:space="preserve"> szempontok:az interjú alany életkora, neme, tanulmányai, munkája, attitűdje a tudatmódosító szerekről vagy az adott addiktív viselkedésről, motivációi a használat/viselkedés kapcsán, eddigi problémái a használat/viselkedés</w:t>
      </w:r>
      <w:r>
        <w:rPr>
          <w:rFonts w:cs="Times New Roman"/>
          <w:color w:val="7030A0"/>
          <w:sz w:val="20"/>
          <w:szCs w:val="20"/>
        </w:rPr>
        <w:t>ével kapcsolatban</w:t>
      </w:r>
      <w:r w:rsidRPr="00FA657A">
        <w:rPr>
          <w:rFonts w:cs="Times New Roman"/>
          <w:color w:val="7030A0"/>
          <w:sz w:val="20"/>
          <w:szCs w:val="20"/>
        </w:rPr>
        <w:t xml:space="preserve">, lehet-e biztonságos az adott </w:t>
      </w:r>
      <w:proofErr w:type="spellStart"/>
      <w:r w:rsidRPr="00FA657A">
        <w:rPr>
          <w:rFonts w:cs="Times New Roman"/>
          <w:color w:val="7030A0"/>
          <w:sz w:val="20"/>
          <w:szCs w:val="20"/>
        </w:rPr>
        <w:t>addikció</w:t>
      </w:r>
      <w:proofErr w:type="spellEnd"/>
      <w:r w:rsidRPr="00FA657A">
        <w:rPr>
          <w:rFonts w:cs="Times New Roman"/>
          <w:color w:val="7030A0"/>
          <w:sz w:val="20"/>
          <w:szCs w:val="20"/>
        </w:rPr>
        <w:t xml:space="preserve">, és saját reflexiói az elhangzottakra) </w:t>
      </w:r>
      <w:r>
        <w:rPr>
          <w:rFonts w:cs="Times New Roman"/>
          <w:color w:val="7030A0"/>
          <w:sz w:val="20"/>
          <w:szCs w:val="20"/>
        </w:rPr>
        <w:t xml:space="preserve"> április 15.</w:t>
      </w: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jc w:val="right"/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Veressné dr. Gönczi Ibolya</w:t>
      </w:r>
    </w:p>
    <w:p w:rsidR="00FA657A" w:rsidRPr="00696A02" w:rsidRDefault="00FA657A" w:rsidP="00FA657A">
      <w:pPr>
        <w:jc w:val="right"/>
        <w:rPr>
          <w:rFonts w:cs="Times New Roman"/>
          <w:color w:val="7030A0"/>
          <w:sz w:val="20"/>
          <w:szCs w:val="20"/>
        </w:rPr>
      </w:pPr>
      <w:proofErr w:type="gramStart"/>
      <w:r w:rsidRPr="00696A02">
        <w:rPr>
          <w:rFonts w:cs="Times New Roman"/>
          <w:color w:val="7030A0"/>
          <w:sz w:val="20"/>
          <w:szCs w:val="20"/>
        </w:rPr>
        <w:t>egyetemi</w:t>
      </w:r>
      <w:proofErr w:type="gramEnd"/>
      <w:r w:rsidRPr="00696A02">
        <w:rPr>
          <w:rFonts w:cs="Times New Roman"/>
          <w:color w:val="7030A0"/>
          <w:sz w:val="20"/>
          <w:szCs w:val="20"/>
        </w:rPr>
        <w:t xml:space="preserve"> docens</w:t>
      </w: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A657A" w:rsidRPr="00696A02" w:rsidRDefault="00FA657A" w:rsidP="00FA657A">
      <w:pPr>
        <w:rPr>
          <w:rFonts w:cs="Times New Roman"/>
          <w:color w:val="7030A0"/>
          <w:sz w:val="20"/>
          <w:szCs w:val="20"/>
        </w:rPr>
      </w:pPr>
    </w:p>
    <w:p w:rsidR="00F05D28" w:rsidRDefault="00F05D28"/>
    <w:sectPr w:rsidR="00F0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364"/>
    <w:multiLevelType w:val="hybridMultilevel"/>
    <w:tmpl w:val="2046776C"/>
    <w:lvl w:ilvl="0" w:tplc="0722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A"/>
    <w:rsid w:val="002A555C"/>
    <w:rsid w:val="003A364C"/>
    <w:rsid w:val="006810E7"/>
    <w:rsid w:val="009F49FF"/>
    <w:rsid w:val="00C5352C"/>
    <w:rsid w:val="00F05D28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5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57A"/>
    <w:pPr>
      <w:ind w:left="720"/>
      <w:contextualSpacing/>
    </w:pPr>
  </w:style>
  <w:style w:type="table" w:styleId="Rcsostblzat">
    <w:name w:val="Table Grid"/>
    <w:basedOn w:val="Normltblzat"/>
    <w:uiPriority w:val="59"/>
    <w:rsid w:val="00F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53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57A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57A"/>
    <w:pPr>
      <w:ind w:left="720"/>
      <w:contextualSpacing/>
    </w:pPr>
  </w:style>
  <w:style w:type="table" w:styleId="Rcsostblzat">
    <w:name w:val="Table Grid"/>
    <w:basedOn w:val="Normltblzat"/>
    <w:uiPriority w:val="59"/>
    <w:rsid w:val="00F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53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A13H1744.KOR&amp;txtreferer=00000003.T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776C-4CF4-4C54-A0CD-D591D389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2</cp:revision>
  <cp:lastPrinted>2019-02-10T16:31:00Z</cp:lastPrinted>
  <dcterms:created xsi:type="dcterms:W3CDTF">2019-02-10T15:50:00Z</dcterms:created>
  <dcterms:modified xsi:type="dcterms:W3CDTF">2019-02-10T16:40:00Z</dcterms:modified>
</cp:coreProperties>
</file>