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4F" w:rsidRDefault="00450A4F" w:rsidP="00815AE9">
      <w:pPr>
        <w:pStyle w:val="Cmsor2"/>
        <w:numPr>
          <w:ilvl w:val="0"/>
          <w:numId w:val="0"/>
        </w:numPr>
        <w:rPr>
          <w:color w:val="auto"/>
        </w:rPr>
      </w:pPr>
      <w:bookmarkStart w:id="0" w:name="_GoBack"/>
      <w:bookmarkEnd w:id="0"/>
    </w:p>
    <w:p w:rsidR="00450A4F" w:rsidRDefault="00450A4F" w:rsidP="00815AE9">
      <w:pPr>
        <w:pStyle w:val="Cmsor2"/>
        <w:numPr>
          <w:ilvl w:val="0"/>
          <w:numId w:val="0"/>
        </w:numPr>
        <w:rPr>
          <w:color w:val="auto"/>
        </w:rPr>
      </w:pPr>
    </w:p>
    <w:p w:rsidR="00815AE9" w:rsidRPr="00815AE9" w:rsidRDefault="00815AE9" w:rsidP="00815AE9">
      <w:pPr>
        <w:pStyle w:val="Cmsor2"/>
        <w:numPr>
          <w:ilvl w:val="0"/>
          <w:numId w:val="0"/>
        </w:numPr>
        <w:rPr>
          <w:color w:val="auto"/>
        </w:rPr>
      </w:pPr>
      <w:r w:rsidRPr="00815AE9">
        <w:rPr>
          <w:color w:val="auto"/>
        </w:rPr>
        <w:t>KULTURÁLIS MEDIÁCIÓ</w:t>
      </w:r>
      <w:r w:rsidRPr="00815AE9">
        <w:rPr>
          <w:color w:val="auto"/>
        </w:rPr>
        <w:br/>
        <w:t>MESTERKÉPZÉSI SZAK</w:t>
      </w:r>
    </w:p>
    <w:tbl>
      <w:tblPr>
        <w:tblW w:w="5000" w:type="pct"/>
        <w:tblLook w:val="01E0"/>
      </w:tblPr>
      <w:tblGrid>
        <w:gridCol w:w="4622"/>
        <w:gridCol w:w="4666"/>
      </w:tblGrid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Képzési terület, képzési ág: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bölcsészettudomány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Képzési ciklus: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mester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Képzési forma (tagozat):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nappali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A szakért felelős kar: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Bölcsészettudományi Kar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Képzési idő: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4 félév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Az oklevélhez szükséges kreditek száma: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120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Az összes kontakt óra száma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1200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Szakmai gyakorlat ideje, kreditje, jellege: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160 óra, 8 kredit, intézményi gyakorlat</w:t>
            </w:r>
          </w:p>
        </w:tc>
      </w:tr>
      <w:tr w:rsidR="00815AE9" w:rsidRPr="00815AE9" w:rsidTr="0058605C">
        <w:tc>
          <w:tcPr>
            <w:tcW w:w="2488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Szakfelelős:</w:t>
            </w:r>
          </w:p>
        </w:tc>
        <w:tc>
          <w:tcPr>
            <w:tcW w:w="2512" w:type="pct"/>
          </w:tcPr>
          <w:p w:rsidR="00815AE9" w:rsidRPr="00815AE9" w:rsidRDefault="00815AE9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815AE9">
              <w:rPr>
                <w:rFonts w:eastAsia="Times New Roman"/>
                <w:lang w:eastAsia="hu-HU"/>
              </w:rPr>
              <w:t>Dr. Juhász Erika</w:t>
            </w:r>
          </w:p>
        </w:tc>
      </w:tr>
    </w:tbl>
    <w:p w:rsidR="00815AE9" w:rsidRPr="00815AE9" w:rsidRDefault="00815AE9" w:rsidP="00815AE9">
      <w:pPr>
        <w:spacing w:after="0"/>
        <w:contextualSpacing w:val="0"/>
      </w:pP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KULTURÁLIS MEDIÁCIÓ MESTERKÉPZÉSI SZAK képzési és kimeneti követelményei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1. A mesterképzési szak megnevezése: </w:t>
      </w:r>
      <w:r w:rsidRPr="00815AE9">
        <w:t xml:space="preserve">kulturális </w:t>
      </w:r>
      <w:proofErr w:type="spellStart"/>
      <w:r w:rsidRPr="00815AE9">
        <w:t>mediáció</w:t>
      </w:r>
      <w:proofErr w:type="spellEnd"/>
      <w:r w:rsidRPr="00815AE9">
        <w:t xml:space="preserve"> (</w:t>
      </w:r>
      <w:proofErr w:type="spellStart"/>
      <w:r w:rsidRPr="00815AE9">
        <w:t>Cultural</w:t>
      </w:r>
      <w:proofErr w:type="spellEnd"/>
      <w:r w:rsidR="00BD6B14">
        <w:t xml:space="preserve"> </w:t>
      </w:r>
      <w:proofErr w:type="spellStart"/>
      <w:r w:rsidRPr="00815AE9">
        <w:t>Mediation</w:t>
      </w:r>
      <w:proofErr w:type="spellEnd"/>
      <w:r w:rsidRPr="00815AE9">
        <w:t>)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2. A mesterképzési szakon szerezhető végzettségi szint és a szakképzettség oklevélben szereplő megjelölése</w:t>
      </w:r>
    </w:p>
    <w:p w:rsidR="00815AE9" w:rsidRPr="00815AE9" w:rsidRDefault="00815AE9" w:rsidP="00815AE9">
      <w:pPr>
        <w:spacing w:after="0"/>
        <w:contextualSpacing w:val="0"/>
      </w:pPr>
      <w:r w:rsidRPr="00815AE9">
        <w:t>végzettségi szint: mester- (</w:t>
      </w:r>
      <w:proofErr w:type="spellStart"/>
      <w:r w:rsidRPr="00815AE9">
        <w:t>magister</w:t>
      </w:r>
      <w:proofErr w:type="spellEnd"/>
      <w:r w:rsidRPr="00815AE9">
        <w:t xml:space="preserve">, </w:t>
      </w:r>
      <w:proofErr w:type="spellStart"/>
      <w:r w:rsidRPr="00815AE9">
        <w:t>master</w:t>
      </w:r>
      <w:proofErr w:type="spellEnd"/>
      <w:r w:rsidRPr="00815AE9">
        <w:t>; rövidítve: MA-) fokozat</w:t>
      </w:r>
    </w:p>
    <w:p w:rsidR="00815AE9" w:rsidRPr="00815AE9" w:rsidRDefault="00815AE9" w:rsidP="00815AE9">
      <w:pPr>
        <w:spacing w:after="0"/>
        <w:contextualSpacing w:val="0"/>
      </w:pPr>
      <w:r w:rsidRPr="00815AE9">
        <w:t>szakképzettség: okleveles kulturális mediátor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a szakképzettség angol nyelvű megjelölése: </w:t>
      </w:r>
      <w:proofErr w:type="spellStart"/>
      <w:r w:rsidRPr="00815AE9">
        <w:t>Culture</w:t>
      </w:r>
      <w:proofErr w:type="spellEnd"/>
      <w:r w:rsidRPr="00815AE9">
        <w:t xml:space="preserve"> </w:t>
      </w:r>
      <w:proofErr w:type="spellStart"/>
      <w:r w:rsidRPr="00815AE9">
        <w:t>Mediator</w:t>
      </w:r>
      <w:proofErr w:type="spellEnd"/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3. Képzési terület: </w:t>
      </w:r>
      <w:r w:rsidRPr="00815AE9">
        <w:t>bölcsészettudomány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4. A mesterképzésbe történő belépésnél előzményként elfogadott szakok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4.1. Teljes kreditérték beszámításával vehető figyelembe: </w:t>
      </w:r>
      <w:r w:rsidRPr="00815AE9">
        <w:t>az</w:t>
      </w:r>
      <w:r w:rsidRPr="00815AE9">
        <w:rPr>
          <w:b/>
          <w:bCs/>
        </w:rPr>
        <w:t> </w:t>
      </w:r>
      <w:r w:rsidRPr="00815AE9">
        <w:t>andragógia és közösségszervező alapképzési szak, továbbá a felsőoktatásról szóló az 1993. LXXX. törvény szerinti főiskolai szintű művelődésszervező, személyügyi szervező, munkavállalási tanácsadó, az ezekkel megfeleltethető korábbi főiskolai szintű szakok (népművelés, közművelődési szakember), a bölcsészettudomány képzési területről a pedagógia, a pszichológia; a gazdaságtudományok képzési területről az emberi erőforrások; a társadalomtudomány képzési területről a szociológia, a politológia, az informatikus könyvtáros, a kulturális antropológia alapképzési szak, valamint a pedagógusi képzési terület alapképzési szakjai.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4.2. A 9.4. pontban meghatározott kreditek teljesítésével elsősorban számításba vehető</w:t>
      </w:r>
      <w:r w:rsidRPr="00815AE9">
        <w:t> a bölcsészettudomány és társadalomtudomány képzési területek szakjai.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4.3.</w:t>
      </w:r>
      <w:r w:rsidRPr="00815AE9">
        <w:t> </w:t>
      </w:r>
      <w:r w:rsidRPr="00815AE9">
        <w:rPr>
          <w:b/>
          <w:bCs/>
        </w:rPr>
        <w:t>A 9.4. pontban meghatározott kreditek teljesítésével vehetők figyelembe továbbá</w:t>
      </w:r>
      <w:r w:rsidRPr="00815AE9">
        <w:t> 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5. A képzési idő félévekben: </w:t>
      </w:r>
      <w:r w:rsidRPr="00815AE9">
        <w:t>4 félév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6. A mesterfokozat megszerzéséhez összegyűjtendő kreditek száma: </w:t>
      </w:r>
      <w:r w:rsidRPr="00815AE9">
        <w:t>120 kredit</w:t>
      </w:r>
    </w:p>
    <w:p w:rsidR="00815AE9" w:rsidRPr="00815AE9" w:rsidRDefault="00815AE9" w:rsidP="00815AE9">
      <w:pPr>
        <w:spacing w:after="0"/>
        <w:contextualSpacing w:val="0"/>
      </w:pPr>
      <w:r w:rsidRPr="00815AE9">
        <w:t>a szak orientációja: kiegyensúlyozott (40-60 százalék)</w:t>
      </w:r>
    </w:p>
    <w:p w:rsidR="00815AE9" w:rsidRPr="00815AE9" w:rsidRDefault="00815AE9" w:rsidP="00815AE9">
      <w:pPr>
        <w:spacing w:after="0"/>
        <w:contextualSpacing w:val="0"/>
      </w:pPr>
      <w:r w:rsidRPr="00815AE9">
        <w:t>a diplomamunka készítéséhez rendelt kreditérték: 10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t>a szabadon választható tantárgyakhoz rendelhető minimális kreditérték: 10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7.    A szakképzettség képzési területek egységes osztályozási rendszere szerinti tanulmányi területi besorolása: </w:t>
      </w:r>
      <w:r w:rsidRPr="00815AE9">
        <w:t>312/0314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8. A mesterképzési szak képzési célja és a szakmai kompetenciák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A képzés célja kulturális mediátorok képzése, akik megszerzett nevelés- és kultúratudományi, pszichológiai, társadalomtudományi ismereteik birtokában képesek a szociokulturális társadalmi folyamatok elemzésére, a szükségletek felmérésére, elemzésére, a megjelent igények megjelenítésére, a kultúra tartalma, a kultúra alkotói és a különböző társadalmi csoportok közötti </w:t>
      </w:r>
      <w:proofErr w:type="spellStart"/>
      <w:r w:rsidRPr="00815AE9">
        <w:t>mediálásra</w:t>
      </w:r>
      <w:proofErr w:type="spellEnd"/>
      <w:r w:rsidRPr="00815AE9">
        <w:t>, professzionális kultúraközvetítésre. Alkalmasak a különböző településeken, hazai és nemzetközi közösségekben és multikulturális közegben is a kulturális igények alapján a művelődési lehetőségek fejlesztésére, eltérő kultúrák közötti közvetítésre, kulturális projektek tervezési, szervezési, üzemeltetési és ellenőrzési feladatainak ellátására. Felkészültek tanulmányaik doktori képzésben történő folytatására.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lastRenderedPageBreak/>
        <w:t>8.1. Az elsajátítandó szakmai kompetenciák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A kulturális mediátor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a) tudása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kultúraközvetítés komplex folyamataira ható tudományos diszciplínák, a kultúratudomány, nevelés- és művelődéstudomány, pszichológia, társadalomelmélet meghatározó elméleti irányzatait és azok összefüggéseit.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kultúra és a civilizáció fogalmak jelentésének fejlődéstörténetét, egymáshoz való viszonyukat.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magyar és az európai kultúra folyamatainak és jelenségeinek lényeges értékeit és a magyar kultúra nemzetközi környezetben való képviseletének módjait.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kultúraközvetítés elméletét és gyakorlatát.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kultúraközvetítés állami, piaci és nonprofit intézményeit és szervezeteit.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változó társadalmi, gazdasági, kulturális környezet rendszerezési, elemzési technikáit, valamint a szervezés és irányítás elméleti alapjait és technikáit.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kulturális intézmények, hazai és nemzetközi kultúraközvetítő hálózatok, kutatócsoportok és projektek tervezési, vezetési, menedzselési ismereteit.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kultúra gazdaságtanát.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globális emberi jogokat és a nemzetiségi jogokat tartalmazó joganyag lényegi összefüggéseit, a kultúrára gyakorolt hatásait, a kisebbségi kultúrák és a multikulturális területek sajátosságait.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mind a tudományos nyilvánosságban, mind a kultúraterjesztésben megkívánt magas igényű írásos és szóbeli kommunikáció technikáit.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Ismeri az </w:t>
      </w:r>
      <w:proofErr w:type="spellStart"/>
      <w:r w:rsidRPr="00815AE9">
        <w:t>info-kommunikációs</w:t>
      </w:r>
      <w:proofErr w:type="spellEnd"/>
      <w:r w:rsidRPr="00815AE9">
        <w:t xml:space="preserve"> technológiák használatát.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magyar társadalom legfontosabb kisebbségi csoportjait, a multikulturális társadalom alapvető jellemzőit.</w:t>
      </w:r>
    </w:p>
    <w:p w:rsidR="00815AE9" w:rsidRPr="00815AE9" w:rsidRDefault="00815AE9" w:rsidP="00815AE9">
      <w:pPr>
        <w:spacing w:after="0"/>
        <w:contextualSpacing w:val="0"/>
      </w:pPr>
      <w:r w:rsidRPr="00815AE9">
        <w:t>Ismeri a kulturális szervezet létrehozásával, működtetésével kapcsolatos gazdasági és irányítási feladatokat.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b) képességei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változó társadalmi, gazdasági, kulturális környezet rendszerezett, alkotó megértésére, az új információk, problémák és jelenségek szaktudományos feldolgozására, a szociokulturális társadalmi folyamatok elemzésére.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Képes a szükségletek felmérésére, felismerésére, a felmerülő igények megjelenítésére, a látens és manifeszt igényekhez igazodó innovatív kulturális </w:t>
      </w:r>
      <w:proofErr w:type="spellStart"/>
      <w:r w:rsidRPr="00815AE9">
        <w:t>mediációs</w:t>
      </w:r>
      <w:proofErr w:type="spellEnd"/>
      <w:r w:rsidRPr="00815AE9">
        <w:t xml:space="preserve"> folyamatok tervezésére, és élményt nyújtó tapasztalatok szakszerű </w:t>
      </w:r>
      <w:proofErr w:type="spellStart"/>
      <w:r w:rsidRPr="00815AE9">
        <w:t>facilitálására</w:t>
      </w:r>
      <w:proofErr w:type="spellEnd"/>
      <w:r w:rsidRPr="00815AE9">
        <w:t>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magyar kultúra és kultúraközvetítés, különösen a közművelődés, az állami, piaci és nonprofit intézményeit és szervezeteit a tradíció és a fejlődés dialektikájában működtetni, fejleszteni, értékelni.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nemzetközi környezetben a magyar kultúra képviseletére, nemzetközi projektekben való cselekvő együttműködésre.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saját hipotézisen alapuló, önálló kulturális jellegű kutatások tervezésére és megvalósítására, az eredmények tudományos igényű írásos és szóbeli prezentálására, más kutatások eredményeinek kritikai reflexív elemzésére.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kulturális szakértői feladatok ellátására, a kulturális örökség menedzselésére, a szellemi és tárgyi kulturális örökség helyi közösségek általi elismerési, gondozási folyamatainak támogatására.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Képes a különféle társadalmi csoportok és intézmények közötti szakszerű </w:t>
      </w:r>
      <w:proofErr w:type="spellStart"/>
      <w:r w:rsidRPr="00815AE9">
        <w:t>mediálásra</w:t>
      </w:r>
      <w:proofErr w:type="spellEnd"/>
      <w:r w:rsidRPr="00815AE9">
        <w:t>, szervezetépítésre, fejlesztésére, menedzselésére, a nemzetközi kulturális kapcsolatok élénkítésére.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kultúraterjesztés és a közművelődés területén stratégiák kidolgozására, különböző szintű társadalmi, politikai, gazdasági és kulturális igazgatási döntések előkészítésére, azok szakmai és nem szakmai közönség számára történő kommunikálására.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hagyományos és új típusú civil társadalmi kezdeményezések támogatására, esélyegyenlőségi, érdekartikulációs, érdekérvényesítési és érdekvédelmi folyamatok felépítésére.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a különböző professziók és szektorok képviselőivel együttesen dolgozva közreműködni helyi, regionális, nemzeti és globális szintű társadalomfejlesztési programokban, kulturális-kreatív kompetenciák transzferhatásainak felerősítésében.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Képes kultúraközvetítő vállalkozás létrehozására, kulturális szervezetek és projektek menedzselésére.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c) attitűdje</w:t>
      </w:r>
    </w:p>
    <w:p w:rsidR="00815AE9" w:rsidRPr="00815AE9" w:rsidRDefault="00815AE9" w:rsidP="00815AE9">
      <w:pPr>
        <w:spacing w:after="0"/>
        <w:contextualSpacing w:val="0"/>
      </w:pPr>
      <w:r w:rsidRPr="00815AE9">
        <w:t>Kreatív, problémamegoldó- és reflexiós módon közelít a szakmai kérdésekhez.</w:t>
      </w:r>
    </w:p>
    <w:p w:rsidR="00815AE9" w:rsidRPr="00815AE9" w:rsidRDefault="00815AE9" w:rsidP="00815AE9">
      <w:pPr>
        <w:spacing w:after="0"/>
        <w:contextualSpacing w:val="0"/>
      </w:pPr>
      <w:r w:rsidRPr="00815AE9">
        <w:lastRenderedPageBreak/>
        <w:t>Kooperációs, konfliktustűrési és konfliktuskezelési, empatikus módszerekkel közelít a szakmai kérdésekhez.</w:t>
      </w:r>
    </w:p>
    <w:p w:rsidR="00815AE9" w:rsidRPr="00815AE9" w:rsidRDefault="00815AE9" w:rsidP="00815AE9">
      <w:pPr>
        <w:spacing w:after="0"/>
        <w:contextualSpacing w:val="0"/>
      </w:pPr>
      <w:r w:rsidRPr="00815AE9">
        <w:t>Rendelkezik a szakmai énkép megkonstruálása és a kulturális mediátor professzió értékeihez való hűséggel, elkötelezettséggel, etikai felelősségvállalással.</w:t>
      </w:r>
    </w:p>
    <w:p w:rsidR="00815AE9" w:rsidRPr="00815AE9" w:rsidRDefault="00815AE9" w:rsidP="00815AE9">
      <w:pPr>
        <w:spacing w:after="0"/>
        <w:contextualSpacing w:val="0"/>
      </w:pPr>
      <w:r w:rsidRPr="00815AE9">
        <w:t>Rendelkezik az új feladatok megoldására inspiráló kezdeményező készséggel, pozitív beállítódással, küzdeni tudással, érzelmi intelligenciával.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Rendelkezik a kulturális menedzsment és a </w:t>
      </w:r>
      <w:proofErr w:type="spellStart"/>
      <w:r w:rsidRPr="00815AE9">
        <w:t>mediálás</w:t>
      </w:r>
      <w:proofErr w:type="spellEnd"/>
      <w:r w:rsidRPr="00815AE9">
        <w:t xml:space="preserve"> sajátosságaiból adódó összetett és előre ki nem számítható helyzetekben a változás- és a válságkezelés, a döntéshozás, a dialógusteremtés, a kultúraközi kommunikáció szemléletmódjainak ötvözésére.</w:t>
      </w:r>
    </w:p>
    <w:p w:rsidR="00815AE9" w:rsidRPr="00815AE9" w:rsidRDefault="00815AE9" w:rsidP="00815AE9">
      <w:pPr>
        <w:spacing w:after="0"/>
        <w:contextualSpacing w:val="0"/>
      </w:pPr>
      <w:r w:rsidRPr="00815AE9">
        <w:t>Rendelkezik nyitottsággal más kulturális világok iránt, a kulturális különbözőségek értékelésével, különbözőségek értékelésének és elfogadásának képességével.</w:t>
      </w:r>
    </w:p>
    <w:p w:rsidR="00815AE9" w:rsidRPr="00815AE9" w:rsidRDefault="00815AE9" w:rsidP="00815AE9">
      <w:pPr>
        <w:spacing w:after="0"/>
        <w:contextualSpacing w:val="0"/>
      </w:pPr>
      <w:r w:rsidRPr="00815AE9">
        <w:t>Használja a tudásmenedzsment, a tudásforrás feltárása, az ismeretek és tapasztalatok önreflektív elemzése módszereit a szakmájában.</w:t>
      </w:r>
    </w:p>
    <w:p w:rsidR="00815AE9" w:rsidRPr="00815AE9" w:rsidRDefault="00815AE9" w:rsidP="00815AE9">
      <w:pPr>
        <w:spacing w:after="0"/>
        <w:contextualSpacing w:val="0"/>
      </w:pPr>
      <w:r w:rsidRPr="00815AE9">
        <w:t>Adaptív és rendszerszemléletű.</w:t>
      </w:r>
    </w:p>
    <w:p w:rsidR="00815AE9" w:rsidRPr="00815AE9" w:rsidRDefault="00815AE9" w:rsidP="00815AE9">
      <w:pPr>
        <w:spacing w:after="0"/>
        <w:contextualSpacing w:val="0"/>
      </w:pPr>
      <w:r w:rsidRPr="00815AE9">
        <w:t xml:space="preserve">Alkalmazza a permanens innovációt a kreativitás, originalitás, flexibilitás, </w:t>
      </w:r>
      <w:proofErr w:type="spellStart"/>
      <w:r w:rsidRPr="00815AE9">
        <w:t>fluency</w:t>
      </w:r>
      <w:proofErr w:type="spellEnd"/>
      <w:r w:rsidRPr="00815AE9">
        <w:t xml:space="preserve"> elemeivel, a hatékony vezetést, a team-munkát és az önfejlesztést.</w:t>
      </w:r>
    </w:p>
    <w:p w:rsidR="00815AE9" w:rsidRPr="00815AE9" w:rsidRDefault="00815AE9" w:rsidP="00815AE9">
      <w:pPr>
        <w:spacing w:after="0"/>
        <w:contextualSpacing w:val="0"/>
      </w:pPr>
      <w:r w:rsidRPr="00815AE9">
        <w:t>Fontosnak tartja a tevékenységek és emberek együttműködését és összehangolását.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d) autonómiája és felelőssége</w:t>
      </w:r>
    </w:p>
    <w:p w:rsidR="00815AE9" w:rsidRPr="00815AE9" w:rsidRDefault="00815AE9" w:rsidP="00815AE9">
      <w:pPr>
        <w:spacing w:after="0"/>
        <w:contextualSpacing w:val="0"/>
      </w:pPr>
      <w:r w:rsidRPr="00815AE9">
        <w:t>Fontosnak tartja a másokkal való szakmai és szakmaközi együttműködést.</w:t>
      </w:r>
    </w:p>
    <w:p w:rsidR="00815AE9" w:rsidRPr="00815AE9" w:rsidRDefault="00815AE9" w:rsidP="00815AE9">
      <w:pPr>
        <w:spacing w:after="0"/>
        <w:contextualSpacing w:val="0"/>
      </w:pPr>
      <w:r w:rsidRPr="00815AE9">
        <w:t>Önállóan és permanensen fejleszti személyiségét, alkalmazza a szakmai önképzést.</w:t>
      </w:r>
    </w:p>
    <w:p w:rsidR="00815AE9" w:rsidRPr="00815AE9" w:rsidRDefault="00815AE9" w:rsidP="00815AE9">
      <w:pPr>
        <w:spacing w:after="0"/>
        <w:contextualSpacing w:val="0"/>
      </w:pPr>
      <w:r w:rsidRPr="00815AE9">
        <w:t>Rendelkezik a kezdeményezés, az önálló és közösségi döntéshozatal képességeivel.</w:t>
      </w:r>
    </w:p>
    <w:p w:rsidR="00815AE9" w:rsidRPr="00815AE9" w:rsidRDefault="00815AE9" w:rsidP="00815AE9">
      <w:pPr>
        <w:spacing w:after="0"/>
        <w:contextualSpacing w:val="0"/>
      </w:pPr>
      <w:r w:rsidRPr="00815AE9">
        <w:t>Rendelkezik az egyéni és közösségi felelősségtudattal, felelősségvállalással.</w:t>
      </w:r>
    </w:p>
    <w:p w:rsidR="00815AE9" w:rsidRPr="00815AE9" w:rsidRDefault="00815AE9" w:rsidP="00815AE9">
      <w:pPr>
        <w:spacing w:after="0"/>
        <w:contextualSpacing w:val="0"/>
      </w:pPr>
      <w:r w:rsidRPr="00815AE9">
        <w:t>Felelősséget vállal az elvégzett munkáiért, tudatában van azok lehetséges következményeinek.</w:t>
      </w:r>
    </w:p>
    <w:p w:rsidR="00815AE9" w:rsidRPr="00815AE9" w:rsidRDefault="00815AE9" w:rsidP="00815AE9">
      <w:pPr>
        <w:spacing w:after="0"/>
        <w:contextualSpacing w:val="0"/>
      </w:pPr>
      <w:r w:rsidRPr="00815AE9">
        <w:t>Képviseli szakmája érdekeit és érdemeit, azok mellett felelősségteljesen kiáll.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9. A mesterképzés jellemzői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9.1. Szakmai jellemzők</w:t>
      </w:r>
    </w:p>
    <w:p w:rsidR="00815AE9" w:rsidRPr="00815AE9" w:rsidRDefault="00815AE9" w:rsidP="00815AE9">
      <w:pPr>
        <w:spacing w:after="0"/>
        <w:contextualSpacing w:val="0"/>
      </w:pPr>
      <w:r w:rsidRPr="00815AE9">
        <w:t>A szakképzettséghez vezető tudományágak, szakterületek, amelyekből a szak felépül: Összesen 100 kredit az alábbiak szerint:</w:t>
      </w:r>
    </w:p>
    <w:p w:rsidR="00815AE9" w:rsidRPr="00815AE9" w:rsidRDefault="00815AE9" w:rsidP="00815AE9">
      <w:pPr>
        <w:spacing w:after="0"/>
        <w:contextualSpacing w:val="0"/>
      </w:pPr>
      <w:r w:rsidRPr="00815AE9">
        <w:t>kulturális fogalmi, intézményi és tevékenységi rendszer 16-25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t>kultúraközvetítés 10-15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t>kulturális menedzsment 22-30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t>kulturális mediáció módszertana 16-25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t>minőségmenedzsment 8-12 kredit;</w:t>
      </w:r>
    </w:p>
    <w:p w:rsidR="00815AE9" w:rsidRPr="00815AE9" w:rsidRDefault="00815AE9" w:rsidP="00815AE9">
      <w:pPr>
        <w:spacing w:after="0"/>
        <w:contextualSpacing w:val="0"/>
      </w:pPr>
      <w:r w:rsidRPr="00815AE9">
        <w:t>kultúrakutatás 8-13 kredit.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9.2. Idegennyelvi követelmény</w:t>
      </w:r>
    </w:p>
    <w:p w:rsidR="00815AE9" w:rsidRPr="00815AE9" w:rsidRDefault="00815AE9" w:rsidP="00815AE9">
      <w:pPr>
        <w:spacing w:after="0"/>
        <w:contextualSpacing w:val="0"/>
      </w:pPr>
      <w:r w:rsidRPr="00815AE9">
        <w:t>A mesterfokozat megszerzéséhez legalább egy élő idegen nyelvből államilag elismert, középfokú (B2), komplex típusú nyelvvizsga vagy ezekkel egyenértékű érettségi bizonyítvány vagy oklevél szükséges.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9.3. A szakmai gyakorlat követelményei</w:t>
      </w:r>
    </w:p>
    <w:p w:rsidR="00815AE9" w:rsidRPr="00815AE9" w:rsidRDefault="00815AE9" w:rsidP="00815AE9">
      <w:pPr>
        <w:spacing w:after="0"/>
        <w:contextualSpacing w:val="0"/>
      </w:pPr>
      <w:r w:rsidRPr="00815AE9">
        <w:t>A szakmai gyakorlat a kiscsoportos tantervi gyakorlaton túl a 3. vagy 4. félév során egy alkalommal kulturális intézményben vagy szervezetben teljesítendő négy hetes, 160 óra időtartamú, képzési időszakhoz kapcsolódó (a nyári szünet időtartamára is kiterjeszthető) gyakorlat.</w:t>
      </w:r>
    </w:p>
    <w:p w:rsidR="00815AE9" w:rsidRPr="00815AE9" w:rsidRDefault="00815AE9" w:rsidP="00815AE9">
      <w:pPr>
        <w:spacing w:after="0"/>
        <w:contextualSpacing w:val="0"/>
      </w:pPr>
      <w:r w:rsidRPr="00815AE9">
        <w:t>A szakmai gyakorlati helyet a felsőoktatási intézmény jelöli ki a hallgatóval egyeztetve. A gyakorlati helyszínek lehetnek: közművelődési intézmények, múzeumok, könyvtárak, kulturális intézmények és szervezetek, valamint bármely települési önkormányzat, egyházi, nonprofit és civil szervezet, amennyiben kulturális tevékenységet is folytat, és amelyekkel a szakmai gyakorlatra a felsőoktatási intézmény megállapodást kötött, továbbá a szakmai gyakorló hely rendelkezik a szakmai gyakorlat szakszerű irányításához szükséges felkészültségű gyakorlatvezetővel.</w:t>
      </w:r>
    </w:p>
    <w:p w:rsidR="00815AE9" w:rsidRPr="00815AE9" w:rsidRDefault="00815AE9" w:rsidP="00815AE9">
      <w:pPr>
        <w:spacing w:after="0"/>
        <w:contextualSpacing w:val="0"/>
      </w:pPr>
      <w:r w:rsidRPr="00815AE9">
        <w:rPr>
          <w:b/>
          <w:bCs/>
        </w:rPr>
        <w:t>9.4.</w:t>
      </w:r>
      <w:r w:rsidRPr="00815AE9">
        <w:t> </w:t>
      </w:r>
      <w:r w:rsidRPr="00815AE9">
        <w:rPr>
          <w:b/>
          <w:bCs/>
        </w:rPr>
        <w:t>A 4.2. pontban megadott oklevéllel rendelkezők esetén</w:t>
      </w:r>
      <w:r w:rsidRPr="00815AE9">
        <w:t> </w:t>
      </w:r>
      <w:r w:rsidRPr="00815AE9">
        <w:rPr>
          <w:b/>
          <w:bCs/>
        </w:rPr>
        <w:t>a mesterképzési képzési ciklusba való belépés minimális feltételei</w:t>
      </w:r>
    </w:p>
    <w:p w:rsidR="00815AE9" w:rsidRPr="00815AE9" w:rsidRDefault="00815AE9" w:rsidP="00815AE9">
      <w:pPr>
        <w:spacing w:after="0"/>
        <w:contextualSpacing w:val="0"/>
      </w:pPr>
      <w:r w:rsidRPr="00815AE9">
        <w:t>A mesterképzésbe való belépéshez a korábbi tanulmányok szerint szükséges kreditek száma összesen 30 kredit az alábbi területekről:</w:t>
      </w:r>
    </w:p>
    <w:p w:rsidR="00815AE9" w:rsidRPr="00815AE9" w:rsidRDefault="00815AE9" w:rsidP="00815AE9">
      <w:pPr>
        <w:spacing w:after="0"/>
        <w:contextualSpacing w:val="0"/>
      </w:pPr>
      <w:r w:rsidRPr="00815AE9">
        <w:t>bölcsészettudományi diszciplínákhoz tartozó alapismeretek: pedagógiai, pszichológiai, filozófiai, etikai ismeretek;</w:t>
      </w:r>
    </w:p>
    <w:p w:rsidR="00815AE9" w:rsidRPr="00815AE9" w:rsidRDefault="00815AE9" w:rsidP="00815AE9">
      <w:pPr>
        <w:spacing w:after="0"/>
        <w:contextualSpacing w:val="0"/>
      </w:pPr>
      <w:r w:rsidRPr="00815AE9">
        <w:t>kommunikációtudományi ismeretkör, kommunikációfejlesztés;</w:t>
      </w:r>
    </w:p>
    <w:p w:rsidR="00815AE9" w:rsidRPr="00815AE9" w:rsidRDefault="00815AE9" w:rsidP="00815AE9">
      <w:pPr>
        <w:spacing w:after="0"/>
        <w:contextualSpacing w:val="0"/>
      </w:pPr>
      <w:r w:rsidRPr="00815AE9">
        <w:lastRenderedPageBreak/>
        <w:t>társadalomtudományi alapismeretek: szociológia, antropológia, politológia;</w:t>
      </w:r>
    </w:p>
    <w:p w:rsidR="00815AE9" w:rsidRPr="00815AE9" w:rsidRDefault="00815AE9" w:rsidP="00815AE9">
      <w:pPr>
        <w:spacing w:after="0"/>
        <w:contextualSpacing w:val="0"/>
      </w:pPr>
      <w:r w:rsidRPr="00815AE9">
        <w:t>gazdasági és jogi ismeretek.</w:t>
      </w:r>
    </w:p>
    <w:p w:rsidR="00815AE9" w:rsidRPr="00815AE9" w:rsidRDefault="00815AE9" w:rsidP="00815AE9">
      <w:pPr>
        <w:spacing w:after="0"/>
        <w:contextualSpacing w:val="0"/>
      </w:pPr>
      <w:r w:rsidRPr="00815AE9">
        <w:t>A mesterképzésbe való felvétel feltétele, hogy a hallgató a korábbi tanulmányai alapján ezekből legalább 15 kredittel rendelkezzen. A hiányzó krediteket a felsőoktatási intézmény tanulmányi és vizsgaszabályzatában meghatározottak szerint meg kell szerezni.</w:t>
      </w:r>
    </w:p>
    <w:p w:rsidR="00815AE9" w:rsidRPr="00815AE9" w:rsidRDefault="00815AE9" w:rsidP="00815AE9">
      <w:pPr>
        <w:spacing w:after="0"/>
        <w:contextualSpacing w:val="0"/>
        <w:jc w:val="left"/>
      </w:pPr>
    </w:p>
    <w:p w:rsidR="00815AE9" w:rsidRPr="00815AE9" w:rsidRDefault="00815AE9" w:rsidP="00815AE9">
      <w:pPr>
        <w:spacing w:after="0"/>
        <w:contextualSpacing w:val="0"/>
        <w:jc w:val="left"/>
      </w:pPr>
    </w:p>
    <w:p w:rsidR="00815AE9" w:rsidRDefault="00815AE9" w:rsidP="00815AE9">
      <w:pPr>
        <w:suppressAutoHyphens/>
        <w:spacing w:after="60"/>
        <w:rPr>
          <w:b/>
        </w:rPr>
      </w:pPr>
      <w:r w:rsidRPr="00815AE9">
        <w:rPr>
          <w:b/>
        </w:rPr>
        <w:t>Kulturális mediáció MA szak tanterve</w:t>
      </w:r>
    </w:p>
    <w:p w:rsidR="00815AE9" w:rsidRDefault="00815AE9" w:rsidP="00815AE9">
      <w:pPr>
        <w:suppressAutoHyphens/>
        <w:spacing w:after="6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2318"/>
        <w:gridCol w:w="938"/>
        <w:gridCol w:w="949"/>
        <w:gridCol w:w="739"/>
        <w:gridCol w:w="1994"/>
        <w:gridCol w:w="967"/>
      </w:tblGrid>
      <w:tr w:rsidR="00815AE9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815AE9" w:rsidRPr="00BD6B14" w:rsidRDefault="00815AE9" w:rsidP="00BD6B14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A tantárgy kódja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815AE9" w:rsidRPr="00BD6B14" w:rsidRDefault="00815AE9" w:rsidP="00BD6B14">
            <w:pPr>
              <w:spacing w:after="0"/>
              <w:ind w:left="-21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15AE9" w:rsidRPr="00BD6B14" w:rsidRDefault="00815AE9" w:rsidP="00BD6B14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15AE9" w:rsidRPr="00BD6B14" w:rsidRDefault="00815AE9" w:rsidP="00BD6B14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15AE9" w:rsidRPr="00BD6B14" w:rsidRDefault="00815AE9" w:rsidP="00BD6B14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15AE9" w:rsidRPr="00BD6B14" w:rsidRDefault="00815AE9" w:rsidP="00BD6B14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előfeltétel</w:t>
            </w:r>
          </w:p>
        </w:tc>
        <w:tc>
          <w:tcPr>
            <w:tcW w:w="535" w:type="pct"/>
            <w:vAlign w:val="center"/>
          </w:tcPr>
          <w:p w:rsidR="00815AE9" w:rsidRPr="00BD6B14" w:rsidRDefault="00815AE9" w:rsidP="00BD6B14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félév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450A4F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BTAD800MA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Demográfia és munkaerőpiaci politikák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BTAD801MA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Forráselemzés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BTAD802MA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Művelődés- és művészetszociológia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proofErr w:type="spellStart"/>
            <w:r w:rsidRPr="00BD6B14">
              <w:t>Gyj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BTAD803MA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Hazai és nemzetközi kulturális intézményrendszer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BTAD804MA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  <w:rPr>
                <w:i/>
                <w:highlight w:val="lightGray"/>
              </w:rPr>
            </w:pPr>
            <w:r w:rsidRPr="00BD6B14">
              <w:t>Közösségi művelődés tevékenységrendszere I.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BTAD805MA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Közösségi művelődés tevékenységrendszere II.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Közösségi művelődés tevékenységrendszere I.</w:t>
            </w: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BTAD806MA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Kulturális örökség-menedzsment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BTAD807MA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Nemzetközi kulturális kapcsolatok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BTAD808MA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Szervezeti kommunikáció és érdekérvényesítés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BTAD809MA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Művelődés- és oktatásgazdaságtan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BTAD810MA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  <w:rPr>
                <w:i/>
                <w:highlight w:val="lightGray"/>
              </w:rPr>
            </w:pPr>
            <w:r w:rsidRPr="00BD6B14">
              <w:t>Kulturális intézménymenedzsment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BTAD811MA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</w:pPr>
            <w:r w:rsidRPr="00BD6B14">
              <w:t>Közösségépítés - csoportfejlesztés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BTAD812MA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Nonprofit menedzsment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BTAD813MA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Projektmenedzsment és pályázatírás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BTAD814MA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Marketing-menedzsment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r w:rsidRPr="00BD6B14">
              <w:t>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BTAD815MA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  <w:rPr>
                <w:i/>
              </w:rPr>
            </w:pPr>
            <w:r w:rsidRPr="00BD6B14">
              <w:t>Kulturális mediáció I.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Gyl</w:t>
            </w:r>
            <w:proofErr w:type="spellEnd"/>
            <w:r w:rsidRPr="00BD6B14">
              <w:t>,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BTAD816MA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Kulturális mediáció II.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Kulturális mediáció I.</w:t>
            </w: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333A3F">
        <w:trPr>
          <w:cantSplit/>
          <w:trHeight w:val="227"/>
          <w:tblHeader/>
          <w:jc w:val="center"/>
        </w:trPr>
        <w:tc>
          <w:tcPr>
            <w:tcW w:w="668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BTAD817MA</w:t>
            </w:r>
          </w:p>
        </w:tc>
        <w:tc>
          <w:tcPr>
            <w:tcW w:w="126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  <w:rPr>
                <w:i/>
                <w:highlight w:val="lightGray"/>
              </w:rPr>
            </w:pPr>
            <w:proofErr w:type="spellStart"/>
            <w:r w:rsidRPr="00BD6B14">
              <w:t>Gerontagógia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2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408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35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</w:tbl>
    <w:p w:rsidR="00333A3F" w:rsidRPr="00BD6B14" w:rsidRDefault="00333A3F" w:rsidP="00BD6B14">
      <w:pPr>
        <w:jc w:val="center"/>
      </w:pPr>
      <w:r w:rsidRPr="00BD6B14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195"/>
        <w:gridCol w:w="934"/>
        <w:gridCol w:w="946"/>
        <w:gridCol w:w="732"/>
        <w:gridCol w:w="1993"/>
        <w:gridCol w:w="962"/>
      </w:tblGrid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lastRenderedPageBreak/>
              <w:t>BTAD818MA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Összefüggő szakmai gyakorlat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EF3367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BTAD819MA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  <w:rPr>
                <w:i/>
                <w:highlight w:val="lightGray"/>
              </w:rPr>
            </w:pPr>
            <w:r w:rsidRPr="00BD6B14">
              <w:t>Civil menedzsment gyakorlata (intézményi gyakorlat)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BTAD820MA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</w:pPr>
            <w:r w:rsidRPr="00BD6B14">
              <w:t>Szakmai kompetenciafejlesztés (intézményi gyakorlat)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BTAD821MA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Minőségmenedzsment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BTAD822MA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  <w:rPr>
                <w:i/>
                <w:highlight w:val="lightGray"/>
              </w:rPr>
            </w:pPr>
            <w:r w:rsidRPr="00BD6B14">
              <w:t>Kulturális jog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BTAD823MA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 w:right="-171"/>
              <w:jc w:val="center"/>
            </w:pPr>
            <w:r w:rsidRPr="00BD6B14">
              <w:t>Kulturális intézmények minőségfejlesztése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Kulturális jog</w:t>
            </w: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BTAD824MA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Kultúrakutatás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Koll</w:t>
            </w:r>
            <w:proofErr w:type="spellEnd"/>
            <w:r w:rsidRPr="00BD6B14">
              <w:t>.</w:t>
            </w:r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BTAD825MA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Statisztikai elemzések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right="-171"/>
              <w:jc w:val="center"/>
            </w:pPr>
            <w:r w:rsidRPr="00BD6B14"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BTAD826MA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IKT a kutatásban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09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proofErr w:type="spellStart"/>
            <w:r w:rsidRPr="00BD6B14">
              <w:t>Gyj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jc w:val="center"/>
            </w:pPr>
            <w:r w:rsidRPr="00BD6B14"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BTAD827MA</w:t>
            </w:r>
          </w:p>
        </w:tc>
        <w:tc>
          <w:tcPr>
            <w:tcW w:w="1181" w:type="pct"/>
            <w:shd w:val="clear" w:color="auto" w:fill="auto"/>
          </w:tcPr>
          <w:p w:rsidR="001A321B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Szakdolgozat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A321B" w:rsidRPr="00BD6B14" w:rsidRDefault="00333A3F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  <w:r w:rsidR="00726980"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BTAD828MA</w:t>
            </w:r>
          </w:p>
        </w:tc>
        <w:tc>
          <w:tcPr>
            <w:tcW w:w="1181" w:type="pct"/>
            <w:shd w:val="clear" w:color="auto" w:fill="auto"/>
          </w:tcPr>
          <w:p w:rsidR="00726980" w:rsidRPr="00BD6B14" w:rsidRDefault="001A321B" w:rsidP="00BD6B14">
            <w:pPr>
              <w:pStyle w:val="Lbjegyzetszveg"/>
              <w:suppressAutoHyphens/>
              <w:ind w:left="-21"/>
              <w:jc w:val="center"/>
            </w:pPr>
            <w:r w:rsidRPr="00BD6B14">
              <w:t>Szabadon választható</w:t>
            </w:r>
            <w:r w:rsidR="00726980" w:rsidRPr="00BD6B14">
              <w:t xml:space="preserve"> 1.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</w:tr>
      <w:tr w:rsidR="001A321B" w:rsidRPr="00BD6B14" w:rsidTr="00BD6B14">
        <w:trPr>
          <w:cantSplit/>
          <w:trHeight w:val="227"/>
          <w:tblHeader/>
          <w:jc w:val="center"/>
        </w:trPr>
        <w:tc>
          <w:tcPr>
            <w:tcW w:w="821" w:type="pct"/>
            <w:shd w:val="clear" w:color="auto" w:fill="auto"/>
            <w:vAlign w:val="center"/>
          </w:tcPr>
          <w:p w:rsidR="001A321B" w:rsidRPr="00BD6B14" w:rsidRDefault="00BD6B14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BTAD829MA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A321B" w:rsidRPr="00BD6B14" w:rsidRDefault="00726980" w:rsidP="00BD6B14">
            <w:pPr>
              <w:spacing w:after="0"/>
              <w:ind w:left="-21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Szabadon választható 2.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A321B" w:rsidRPr="00BD6B14" w:rsidRDefault="00726980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BD6B14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518" w:type="pct"/>
            <w:vAlign w:val="center"/>
          </w:tcPr>
          <w:p w:rsidR="001A321B" w:rsidRPr="00BD6B14" w:rsidRDefault="001A321B" w:rsidP="00BD6B14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</w:p>
        </w:tc>
      </w:tr>
    </w:tbl>
    <w:p w:rsidR="005937B9" w:rsidRPr="00815AE9" w:rsidRDefault="005937B9" w:rsidP="00333A3F">
      <w:pPr>
        <w:suppressAutoHyphens/>
        <w:spacing w:after="60"/>
      </w:pPr>
    </w:p>
    <w:sectPr w:rsidR="005937B9" w:rsidRPr="00815AE9" w:rsidSect="0040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912"/>
    <w:multiLevelType w:val="hybridMultilevel"/>
    <w:tmpl w:val="D968E5F6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AE9"/>
    <w:rsid w:val="001A321B"/>
    <w:rsid w:val="00333A3F"/>
    <w:rsid w:val="004011CA"/>
    <w:rsid w:val="004051BA"/>
    <w:rsid w:val="00450A4F"/>
    <w:rsid w:val="005937B9"/>
    <w:rsid w:val="00726980"/>
    <w:rsid w:val="00815AE9"/>
    <w:rsid w:val="00BD6B14"/>
    <w:rsid w:val="00ED352C"/>
    <w:rsid w:val="00EF3367"/>
    <w:rsid w:val="00FC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AE9"/>
    <w:pPr>
      <w:spacing w:after="12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15AE9"/>
    <w:pPr>
      <w:keepNext/>
      <w:keepLines/>
      <w:numPr>
        <w:ilvl w:val="1"/>
        <w:numId w:val="1"/>
      </w:numPr>
      <w:shd w:val="clear" w:color="auto" w:fill="DEEAF6"/>
      <w:tabs>
        <w:tab w:val="clear" w:pos="1442"/>
      </w:tabs>
      <w:spacing w:before="40" w:after="0"/>
      <w:ind w:left="0" w:firstLine="0"/>
      <w:jc w:val="center"/>
      <w:outlineLvl w:val="1"/>
    </w:pPr>
    <w:rPr>
      <w:rFonts w:eastAsia="Times New Roman"/>
      <w:color w:val="2E74B5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15AE9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815AE9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Cmsor5">
    <w:name w:val="heading 5"/>
    <w:basedOn w:val="Norml"/>
    <w:next w:val="Norml"/>
    <w:link w:val="Cmsor5Char"/>
    <w:qFormat/>
    <w:rsid w:val="00815AE9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="Calibri Light" w:eastAsia="Times New Roman" w:hAnsi="Calibri Light"/>
      <w:color w:val="2E74B5"/>
    </w:rPr>
  </w:style>
  <w:style w:type="paragraph" w:styleId="Cmsor6">
    <w:name w:val="heading 6"/>
    <w:basedOn w:val="Norml"/>
    <w:next w:val="Norml"/>
    <w:link w:val="Cmsor6Char"/>
    <w:qFormat/>
    <w:rsid w:val="00815AE9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="Calibri Light" w:eastAsia="Times New Roman" w:hAnsi="Calibri Light"/>
      <w:color w:val="1F4D78"/>
    </w:rPr>
  </w:style>
  <w:style w:type="paragraph" w:styleId="Cmsor7">
    <w:name w:val="heading 7"/>
    <w:basedOn w:val="Norml"/>
    <w:next w:val="Norml"/>
    <w:link w:val="Cmsor7Char"/>
    <w:qFormat/>
    <w:rsid w:val="00815AE9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qFormat/>
    <w:rsid w:val="00815AE9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15AE9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15AE9"/>
    <w:rPr>
      <w:rFonts w:ascii="Times New Roman" w:eastAsia="Times New Roman" w:hAnsi="Times New Roman" w:cs="Times New Roman"/>
      <w:color w:val="2E74B5"/>
      <w:sz w:val="26"/>
      <w:szCs w:val="26"/>
      <w:shd w:val="clear" w:color="auto" w:fill="DEEAF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815AE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815AE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basedOn w:val="Bekezdsalapbettpusa"/>
    <w:link w:val="Cmsor5"/>
    <w:rsid w:val="00815AE9"/>
    <w:rPr>
      <w:rFonts w:ascii="Calibri Light" w:eastAsia="Times New Roman" w:hAnsi="Calibri Light" w:cs="Times New Roman"/>
      <w:color w:val="2E74B5"/>
    </w:rPr>
  </w:style>
  <w:style w:type="character" w:customStyle="1" w:styleId="Cmsor6Char">
    <w:name w:val="Címsor 6 Char"/>
    <w:basedOn w:val="Bekezdsalapbettpusa"/>
    <w:link w:val="Cmsor6"/>
    <w:rsid w:val="00815AE9"/>
    <w:rPr>
      <w:rFonts w:ascii="Calibri Light" w:eastAsia="Times New Roman" w:hAnsi="Calibri Light" w:cs="Times New Roman"/>
      <w:color w:val="1F4D78"/>
    </w:rPr>
  </w:style>
  <w:style w:type="character" w:customStyle="1" w:styleId="Cmsor7Char">
    <w:name w:val="Címsor 7 Char"/>
    <w:basedOn w:val="Bekezdsalapbettpusa"/>
    <w:link w:val="Cmsor7"/>
    <w:rsid w:val="00815AE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">
    <w:name w:val="Címsor 8 Char"/>
    <w:basedOn w:val="Bekezdsalapbettpusa"/>
    <w:link w:val="Cmsor8"/>
    <w:rsid w:val="00815AE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15AE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bjegyzetszveg">
    <w:name w:val="footnote text"/>
    <w:aliases w:val="Lábjegyzetszöveg Char1 Char Char,Lábjegyzetszöveg Char1,Lábjegyzetszöveg Char1 Char Char1,Lábjegyzetszöveg Char11,Lábjegyzetszöveg Char1 Char Char2,Lábjegyzetszöveg Char12,Lábjegyzetszöveg Char1 Char Char3,Lábjegyzetszöveg Char13"/>
    <w:basedOn w:val="Norml"/>
    <w:link w:val="LbjegyzetszvegChar"/>
    <w:uiPriority w:val="99"/>
    <w:rsid w:val="00815AE9"/>
    <w:pPr>
      <w:spacing w:after="0"/>
      <w:contextualSpacing w:val="0"/>
      <w:jc w:val="left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 Char,Lábjegyzetszöveg Char11 Char,Lábjegyzetszöveg Char1 Char Char2 Char,Lábjegyzetszöveg Char12 Char,Lábjegyzetszöveg Char13 Char"/>
    <w:basedOn w:val="Bekezdsalapbettpusa"/>
    <w:link w:val="Lbjegyzetszveg"/>
    <w:uiPriority w:val="99"/>
    <w:rsid w:val="00815A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empont1b-felsorol1">
    <w:name w:val="szempont1b-felsorol1"/>
    <w:basedOn w:val="Norml"/>
    <w:next w:val="Norml"/>
    <w:rsid w:val="00815AE9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/>
      <w:noProof/>
      <w:sz w:val="20"/>
      <w:szCs w:val="20"/>
      <w:lang w:eastAsia="hu-HU"/>
    </w:rPr>
  </w:style>
  <w:style w:type="paragraph" w:styleId="Szvegtrzs">
    <w:name w:val="Body Text"/>
    <w:aliases w:val=" Char11,Char6 Char Char,Body Text11 Char,Body Text,Char11 Char Char"/>
    <w:basedOn w:val="Norml"/>
    <w:link w:val="SzvegtrzsChar"/>
    <w:rsid w:val="00815AE9"/>
    <w:pPr>
      <w:contextualSpacing w:val="0"/>
      <w:jc w:val="left"/>
    </w:pPr>
    <w:rPr>
      <w:rFonts w:eastAsia="Times New Roman"/>
      <w:sz w:val="20"/>
      <w:szCs w:val="20"/>
      <w:lang w:eastAsia="hu-HU"/>
    </w:rPr>
  </w:style>
  <w:style w:type="character" w:customStyle="1" w:styleId="SzvegtrzsChar">
    <w:name w:val="Szövegtörzs Char"/>
    <w:aliases w:val=" Char11 Char,Char6 Char Char Char,Body Text11 Char Char,Body Text Char,Char11 Char Char Char"/>
    <w:basedOn w:val="Bekezdsalapbettpusa"/>
    <w:link w:val="Szvegtrzs"/>
    <w:rsid w:val="00815A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7C1-2F6F-44D7-A570-D32F5929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1670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Nori</cp:lastModifiedBy>
  <cp:revision>5</cp:revision>
  <cp:lastPrinted>2019-05-06T10:18:00Z</cp:lastPrinted>
  <dcterms:created xsi:type="dcterms:W3CDTF">2019-05-06T10:12:00Z</dcterms:created>
  <dcterms:modified xsi:type="dcterms:W3CDTF">2019-05-06T10:18:00Z</dcterms:modified>
</cp:coreProperties>
</file>